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7E2" w:rsidRDefault="00E977E2" w:rsidP="00E977E2">
      <w:pPr>
        <w:ind w:firstLine="720"/>
        <w:contextualSpacing/>
      </w:pPr>
      <w:bookmarkStart w:id="0" w:name="_GoBack"/>
      <w:bookmarkEnd w:id="0"/>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r>
        <w:t xml:space="preserve"> </w:t>
      </w:r>
    </w:p>
    <w:p w:rsidR="00E977E2" w:rsidRDefault="00E977E2" w:rsidP="00E977E2">
      <w:pPr>
        <w:ind w:firstLine="720"/>
        <w:contextualSpacing/>
      </w:pPr>
    </w:p>
    <w:p w:rsidR="00E977E2" w:rsidRDefault="00E977E2" w:rsidP="00E977E2">
      <w:pPr>
        <w:ind w:firstLine="720"/>
        <w:contextualSpacing/>
      </w:pPr>
      <w:r>
        <w:t xml:space="preserve"> </w:t>
      </w:r>
    </w:p>
    <w:p w:rsidR="00E977E2" w:rsidRDefault="00E977E2" w:rsidP="00E977E2">
      <w:pPr>
        <w:ind w:firstLine="720"/>
        <w:contextualSpacing/>
        <w:jc w:val="center"/>
      </w:pPr>
      <w:r>
        <w:t>Assignment: Pediatric Burns</w:t>
      </w:r>
    </w:p>
    <w:p w:rsidR="00E977E2" w:rsidRDefault="00E977E2" w:rsidP="00E977E2">
      <w:pPr>
        <w:ind w:firstLine="720"/>
        <w:contextualSpacing/>
        <w:jc w:val="center"/>
      </w:pPr>
      <w:r>
        <w:t>Name</w:t>
      </w:r>
    </w:p>
    <w:p w:rsidR="00E977E2" w:rsidRDefault="00E977E2" w:rsidP="00E977E2">
      <w:pPr>
        <w:ind w:firstLine="720"/>
        <w:contextualSpacing/>
        <w:jc w:val="center"/>
      </w:pPr>
      <w:r>
        <w:t>Institution of Affiliation</w:t>
      </w:r>
    </w:p>
    <w:p w:rsidR="00E977E2" w:rsidRDefault="00E977E2" w:rsidP="00E977E2">
      <w:pPr>
        <w:ind w:firstLine="720"/>
        <w:contextualSpacing/>
      </w:pPr>
      <w:r>
        <w:t xml:space="preserve"> </w:t>
      </w: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contextualSpacing/>
        <w:jc w:val="center"/>
      </w:pPr>
      <w:r>
        <w:lastRenderedPageBreak/>
        <w:t>Pediatric Burns</w:t>
      </w:r>
    </w:p>
    <w:p w:rsidR="00E977E2" w:rsidRDefault="00E977E2" w:rsidP="00E977E2">
      <w:pPr>
        <w:ind w:firstLine="720"/>
        <w:contextualSpacing/>
      </w:pPr>
      <w:r>
        <w:t xml:space="preserve">Skin is the largest organ of the body. The main function of the skin is to protect the internal organs from physical injuries or entry of disease-causing pathogens. Besides, the skin prevents the internal organs from losing water and drying up. Other functions of the skin include excretion through sweat glands and regulation of temperature using the </w:t>
      </w:r>
      <w:proofErr w:type="spellStart"/>
      <w:r>
        <w:t>te</w:t>
      </w:r>
      <w:r w:rsidR="00DA0814">
        <w:t>gumentary</w:t>
      </w:r>
      <w:proofErr w:type="spellEnd"/>
      <w:r w:rsidR="00DA0814">
        <w:t xml:space="preserve"> hairs (</w:t>
      </w:r>
      <w:proofErr w:type="spellStart"/>
      <w:r w:rsidR="00DA0814" w:rsidRPr="007B6036">
        <w:rPr>
          <w:rFonts w:eastAsia="Times New Roman"/>
        </w:rPr>
        <w:t>Kolarsick</w:t>
      </w:r>
      <w:proofErr w:type="spellEnd"/>
      <w:r w:rsidR="00DA0814">
        <w:rPr>
          <w:rFonts w:eastAsia="Times New Roman"/>
        </w:rPr>
        <w:t xml:space="preserve"> </w:t>
      </w:r>
      <w:r w:rsidR="00DA0814" w:rsidRPr="00DA0814">
        <w:rPr>
          <w:rFonts w:eastAsia="Times New Roman"/>
          <w:i/>
        </w:rPr>
        <w:t>et al.,</w:t>
      </w:r>
      <w:r w:rsidR="00DA0814">
        <w:rPr>
          <w:rFonts w:eastAsia="Times New Roman"/>
        </w:rPr>
        <w:t xml:space="preserve"> 2011</w:t>
      </w:r>
      <w:r>
        <w:t>). For an optimum function of the skin, the skin requires being intact. However, several factors can lead to the breach of the skin integrity. Such factors include burns and wounds to the skin. Burns are the leading causes of household injuries to the skin.</w:t>
      </w:r>
    </w:p>
    <w:p w:rsidR="00E977E2" w:rsidRDefault="00E977E2" w:rsidP="00E977E2">
      <w:pPr>
        <w:ind w:firstLine="720"/>
        <w:contextualSpacing/>
      </w:pPr>
      <w:r>
        <w:t xml:space="preserve">Burn is defined as the injury to the integrity of the skin by thermal, chemicals, friction, radiation or electrical factors (Keck et al., 2009). Majority of the burns are caused by thermal heat from the fire, hot liquids or hot solids. </w:t>
      </w:r>
    </w:p>
    <w:p w:rsidR="00E977E2" w:rsidRDefault="00E977E2" w:rsidP="00E977E2">
      <w:pPr>
        <w:ind w:firstLine="720"/>
        <w:contextualSpacing/>
      </w:pPr>
      <w:r>
        <w:t>Burns in the pediatric group is a major epidemiological challenge in the world. About a fourth of all the burns in the world occur in pediatrics under the age of 16 years. Of the burn injuries in children, the majority of them occur in children under the age of five years (Peck, 2011). The greatest number of pediatric burn patterns are infants and toddlers younger than 3 years of age due to burns by scalding liquids. The rate of burn injuries amongst pediatrics is almost similar between boys and girls (Peck, 2011).</w:t>
      </w:r>
    </w:p>
    <w:p w:rsidR="00E977E2" w:rsidRDefault="00E977E2" w:rsidP="00E977E2">
      <w:pPr>
        <w:ind w:firstLine="720"/>
        <w:contextualSpacing/>
      </w:pPr>
      <w:r>
        <w:t>The rate of burn injuries is more amongst the children who live in the low social economic status than in children from well o</w:t>
      </w:r>
      <w:r w:rsidR="00386E76">
        <w:t>f families (</w:t>
      </w:r>
      <w:r w:rsidR="00386E76" w:rsidRPr="00466CD5">
        <w:rPr>
          <w:rFonts w:eastAsia="Times New Roman"/>
        </w:rPr>
        <w:t>Peck,</w:t>
      </w:r>
      <w:r w:rsidR="00386E76">
        <w:rPr>
          <w:rFonts w:eastAsia="Times New Roman"/>
        </w:rPr>
        <w:t xml:space="preserve"> 2011</w:t>
      </w:r>
      <w:r>
        <w:t xml:space="preserve">). People of low social economic status still rely on traditional sources of energy such as open firewood kitchens, cooking stoves, and open kerosene lamps. These sources of energy pre-dispose the children more to burn injuries. Besides, people from low social economic status make illegal raw electricity connections which also predispose children to burn injuries. Finally, people of low social </w:t>
      </w:r>
      <w:r>
        <w:lastRenderedPageBreak/>
        <w:t>economic status live in crowded places, limiting the playing space for children. Such children are confined to single rooms that are overcrowded, exposing them more to open fir</w:t>
      </w:r>
      <w:r w:rsidR="00582FF2">
        <w:t>e injuries (</w:t>
      </w:r>
      <w:r w:rsidR="00582FF2">
        <w:rPr>
          <w:rFonts w:eastAsia="Times New Roman"/>
        </w:rPr>
        <w:t xml:space="preserve">Park </w:t>
      </w:r>
      <w:r w:rsidR="00582FF2" w:rsidRPr="00582FF2">
        <w:rPr>
          <w:rFonts w:eastAsia="Times New Roman"/>
          <w:i/>
        </w:rPr>
        <w:t>et al.,</w:t>
      </w:r>
      <w:r w:rsidR="00582FF2">
        <w:rPr>
          <w:rFonts w:eastAsia="Times New Roman"/>
        </w:rPr>
        <w:t xml:space="preserve"> 2009).</w:t>
      </w:r>
    </w:p>
    <w:p w:rsidR="00E977E2" w:rsidRPr="00E977E2" w:rsidRDefault="00E977E2" w:rsidP="00E977E2">
      <w:pPr>
        <w:contextualSpacing/>
        <w:jc w:val="center"/>
        <w:rPr>
          <w:b/>
        </w:rPr>
      </w:pPr>
      <w:r w:rsidRPr="00E977E2">
        <w:rPr>
          <w:b/>
        </w:rPr>
        <w:t>Classification of Burns in Children</w:t>
      </w:r>
    </w:p>
    <w:p w:rsidR="00E977E2" w:rsidRDefault="00E977E2" w:rsidP="00E977E2">
      <w:pPr>
        <w:ind w:firstLine="720"/>
        <w:contextualSpacing/>
      </w:pPr>
      <w:r>
        <w:t xml:space="preserve">Burns in children can be categorized based on several factors. Such factors include the type of burns, the total body surface area burnt and the depth of burns. The cause of burns can also be used to categorize the type of burns. </w:t>
      </w:r>
    </w:p>
    <w:p w:rsidR="00E977E2" w:rsidRPr="00E977E2" w:rsidRDefault="00E977E2" w:rsidP="00E977E2">
      <w:pPr>
        <w:ind w:firstLine="720"/>
        <w:contextualSpacing/>
        <w:rPr>
          <w:b/>
          <w:i/>
        </w:rPr>
      </w:pPr>
      <w:r w:rsidRPr="00E977E2">
        <w:rPr>
          <w:b/>
          <w:i/>
        </w:rPr>
        <w:t>Classification of Pediatric Burns Based On the Depth of Burns</w:t>
      </w:r>
    </w:p>
    <w:p w:rsidR="00E977E2" w:rsidRDefault="00E977E2" w:rsidP="00E977E2">
      <w:pPr>
        <w:ind w:firstLine="720"/>
        <w:contextualSpacing/>
      </w:pPr>
      <w:r>
        <w:t>The burns are classified in five degrees based on the depth of burns. First degree burns involve the superficial epidermis layer of the skin. First degree burns are red in color. These burns lack blisters and pain only lasts for a period less than one week. Healing occurs in 5-10 days and heal without scar formation. Examples of first degree burns include scalding and sunburns (</w:t>
      </w:r>
      <w:proofErr w:type="spellStart"/>
      <w:r>
        <w:t>Monstrey</w:t>
      </w:r>
      <w:proofErr w:type="spellEnd"/>
      <w:r>
        <w:t xml:space="preserve"> et al., 2008). </w:t>
      </w:r>
    </w:p>
    <w:p w:rsidR="00E977E2" w:rsidRDefault="00E977E2" w:rsidP="00E977E2">
      <w:pPr>
        <w:ind w:firstLine="720"/>
        <w:contextualSpacing/>
      </w:pPr>
      <w:r>
        <w:t>Second degree burns are burns that involve the epidermis and the dermis. Second degree burns are further sub-divided in superficial partial thickness and the deep second degree burns (</w:t>
      </w:r>
      <w:proofErr w:type="spellStart"/>
      <w:r>
        <w:t>Monstrey</w:t>
      </w:r>
      <w:proofErr w:type="spellEnd"/>
      <w:r>
        <w:t xml:space="preserve"> et al., 2008). Superficial second-degree burns involve the epidermis and the upper part of dermis up to the level of the papillary dermis. These burns are red in appearance and have clear blisters that blanch with the application of pressure. The burns are normally moist and are very painful. Healing takes 2-3 weeks but does not typically involve scarring. Deep thickness second degree burns involve both the epidermis, papillary dermis and the reticular dermis. The burns appear yellow or white in color. They have less blistering with minimal blanching. The burns are fairly dry. They are not painful but have a discomfort feeling and pressure. Healing </w:t>
      </w:r>
      <w:r>
        <w:lastRenderedPageBreak/>
        <w:t>takes 3-8 weeks and normally heal with scarring and contractures if not managed accordingly (</w:t>
      </w:r>
      <w:proofErr w:type="spellStart"/>
      <w:r>
        <w:t>Monstrey</w:t>
      </w:r>
      <w:proofErr w:type="spellEnd"/>
      <w:r>
        <w:t xml:space="preserve"> et al., 2008).</w:t>
      </w:r>
    </w:p>
    <w:p w:rsidR="00E977E2" w:rsidRDefault="00E977E2" w:rsidP="00E977E2">
      <w:pPr>
        <w:ind w:firstLine="720"/>
        <w:contextualSpacing/>
      </w:pPr>
      <w:r>
        <w:t>Third degree burns involve all layers of the skin and the underlying subcutaneous layer. The wound appears stiff and white-brown with no blanching. The burns are leathery and painless. Healing is normally prolonged and incomplete with scarring, contractures, and amputation being required at times (</w:t>
      </w:r>
      <w:proofErr w:type="spellStart"/>
      <w:r>
        <w:t>Monstrey</w:t>
      </w:r>
      <w:proofErr w:type="spellEnd"/>
      <w:r>
        <w:t xml:space="preserve"> et al., 2008). </w:t>
      </w:r>
    </w:p>
    <w:p w:rsidR="00E977E2" w:rsidRDefault="00E977E2" w:rsidP="00E977E2">
      <w:pPr>
        <w:ind w:firstLine="720"/>
        <w:contextualSpacing/>
      </w:pPr>
      <w:r>
        <w:t xml:space="preserve">Four-degree burns extend through the entire skin into the underlying fat, muscles, and bones. The burns are normally black in appearance charred with </w:t>
      </w:r>
      <w:proofErr w:type="spellStart"/>
      <w:r>
        <w:t>eschar</w:t>
      </w:r>
      <w:proofErr w:type="spellEnd"/>
      <w:r>
        <w:t xml:space="preserve">. The burn wounds are dry and painless. Healing requires excision of </w:t>
      </w:r>
      <w:proofErr w:type="spellStart"/>
      <w:r w:rsidR="002B1058">
        <w:t>eschar</w:t>
      </w:r>
      <w:proofErr w:type="spellEnd"/>
      <w:r>
        <w:t xml:space="preserve"> and amputations with significant functional impairment and death in some cases (</w:t>
      </w:r>
      <w:proofErr w:type="spellStart"/>
      <w:r>
        <w:t>Monstrey</w:t>
      </w:r>
      <w:proofErr w:type="spellEnd"/>
      <w:r>
        <w:t xml:space="preserve"> et al., 2008).</w:t>
      </w:r>
    </w:p>
    <w:p w:rsidR="00E977E2" w:rsidRPr="00E977E2" w:rsidRDefault="00E977E2" w:rsidP="00E977E2">
      <w:pPr>
        <w:ind w:firstLine="720"/>
        <w:contextualSpacing/>
        <w:rPr>
          <w:b/>
          <w:i/>
        </w:rPr>
      </w:pPr>
      <w:r w:rsidRPr="00E977E2">
        <w:rPr>
          <w:b/>
          <w:i/>
        </w:rPr>
        <w:t>Classification of Pediatric Burns by Type of Injury</w:t>
      </w:r>
    </w:p>
    <w:p w:rsidR="00E977E2" w:rsidRDefault="00E977E2" w:rsidP="00E977E2">
      <w:pPr>
        <w:ind w:firstLine="720"/>
        <w:contextualSpacing/>
      </w:pPr>
      <w:r>
        <w:t xml:space="preserve">Children suffer from two main types of burn injuries. The two main types of burn injuries are flame and scald </w:t>
      </w:r>
      <w:r w:rsidR="00FD3911">
        <w:t>burn injuries (</w:t>
      </w:r>
      <w:proofErr w:type="spellStart"/>
      <w:r w:rsidR="00FD3911" w:rsidRPr="00D75A06">
        <w:rPr>
          <w:rFonts w:eastAsia="Times New Roman"/>
        </w:rPr>
        <w:t>Balseven</w:t>
      </w:r>
      <w:proofErr w:type="spellEnd"/>
      <w:r w:rsidR="00FD3911">
        <w:t xml:space="preserve"> et al., 2009</w:t>
      </w:r>
      <w:r>
        <w:t>).  57% of pediatric burns are flame burns while 32% are scald burns. Flame burns are more common in boys due to their risky behaviors and aggressive plays. On the other hand, scald burns are more common in young girls as they try to imitate their mothers.</w:t>
      </w:r>
    </w:p>
    <w:p w:rsidR="00E977E2" w:rsidRDefault="00E977E2" w:rsidP="00E977E2">
      <w:pPr>
        <w:ind w:firstLine="720"/>
        <w:contextualSpacing/>
      </w:pPr>
      <w:r>
        <w:t xml:space="preserve"> Flame burns in children under the age of five years are due to playing with matches, cigarette lighters, fires in fireplaces and trash fires. Flame burns amongst children of 5-10 years are due to increased risk play such as fire plays while flame burns in adolescent children from peer group activities involving things such as gasoline and other flammable substances such as f</w:t>
      </w:r>
      <w:r w:rsidR="009B03C0">
        <w:t>ireworks (</w:t>
      </w:r>
      <w:proofErr w:type="spellStart"/>
      <w:r w:rsidR="009B03C0" w:rsidRPr="00D75A06">
        <w:rPr>
          <w:rFonts w:eastAsia="Times New Roman"/>
        </w:rPr>
        <w:t>Balseven</w:t>
      </w:r>
      <w:proofErr w:type="spellEnd"/>
      <w:r w:rsidR="009B03C0">
        <w:t xml:space="preserve"> et al., 2009</w:t>
      </w:r>
      <w:r>
        <w:t xml:space="preserve">). </w:t>
      </w:r>
    </w:p>
    <w:p w:rsidR="00E977E2" w:rsidRDefault="00E977E2" w:rsidP="00E977E2">
      <w:pPr>
        <w:ind w:firstLine="720"/>
        <w:contextualSpacing/>
      </w:pPr>
      <w:r>
        <w:t>Flame burns in children are normally accompani</w:t>
      </w:r>
      <w:r w:rsidR="00190BA6">
        <w:t>ed by inhalational burns (</w:t>
      </w:r>
      <w:proofErr w:type="spellStart"/>
      <w:r w:rsidR="00190BA6" w:rsidRPr="00D71589">
        <w:rPr>
          <w:rFonts w:eastAsia="Times New Roman"/>
        </w:rPr>
        <w:t>Brusselaers</w:t>
      </w:r>
      <w:proofErr w:type="spellEnd"/>
      <w:r w:rsidR="00190BA6">
        <w:t xml:space="preserve"> et al., 201</w:t>
      </w:r>
      <w:r>
        <w:t xml:space="preserve">0). This is true especially if the flame burns are on the ventral aspect of the trunk and the </w:t>
      </w:r>
      <w:r>
        <w:lastRenderedPageBreak/>
        <w:t>body. Inhalational burns present a management scare as they lead to laryngeal spasm resulting in the challenge of ventilation. Besides, inhalational burns normally lead in underestimation of fluid loss during management resulting in dehydration and or</w:t>
      </w:r>
      <w:r w:rsidR="00234E18">
        <w:t>gan failure (</w:t>
      </w:r>
      <w:proofErr w:type="spellStart"/>
      <w:r w:rsidR="00234E18" w:rsidRPr="00D71589">
        <w:rPr>
          <w:rFonts w:eastAsia="Times New Roman"/>
        </w:rPr>
        <w:t>Brusselaers</w:t>
      </w:r>
      <w:proofErr w:type="spellEnd"/>
      <w:r w:rsidR="00234E18">
        <w:t xml:space="preserve"> et al., 2010</w:t>
      </w:r>
      <w:r>
        <w:t>).</w:t>
      </w:r>
    </w:p>
    <w:p w:rsidR="00E977E2" w:rsidRDefault="00E977E2" w:rsidP="00E977E2">
      <w:pPr>
        <w:ind w:firstLine="720"/>
        <w:contextualSpacing/>
      </w:pPr>
      <w:r>
        <w:t>Scald burns in children is a kitchen injury. They occur mainly from tipping scalding fluids. Scald injuries also occur from unsupervised hot water tap injuries. Scalding injuries cause more deaths and more hospitalizations than from oth</w:t>
      </w:r>
      <w:r w:rsidR="00925BF3">
        <w:t>er burns (</w:t>
      </w:r>
      <w:proofErr w:type="spellStart"/>
      <w:r w:rsidR="00925BF3" w:rsidRPr="00D75A06">
        <w:rPr>
          <w:rFonts w:eastAsia="Times New Roman"/>
        </w:rPr>
        <w:t>Balseven</w:t>
      </w:r>
      <w:proofErr w:type="spellEnd"/>
      <w:r w:rsidR="00925BF3">
        <w:t xml:space="preserve"> et al., 2009</w:t>
      </w:r>
      <w:r>
        <w:t xml:space="preserve">). </w:t>
      </w:r>
    </w:p>
    <w:p w:rsidR="00E977E2" w:rsidRPr="00135403" w:rsidRDefault="00E977E2" w:rsidP="00135403">
      <w:pPr>
        <w:ind w:firstLine="720"/>
        <w:contextualSpacing/>
        <w:jc w:val="center"/>
        <w:rPr>
          <w:b/>
        </w:rPr>
      </w:pPr>
      <w:r w:rsidRPr="00135403">
        <w:rPr>
          <w:b/>
        </w:rPr>
        <w:t xml:space="preserve">Classification </w:t>
      </w:r>
      <w:r w:rsidR="00135403" w:rsidRPr="00135403">
        <w:rPr>
          <w:b/>
        </w:rPr>
        <w:t>of Pediatric Burns by the Body Surface Area Burnt</w:t>
      </w:r>
    </w:p>
    <w:p w:rsidR="00E977E2" w:rsidRDefault="00E977E2" w:rsidP="00E977E2">
      <w:pPr>
        <w:ind w:firstLine="720"/>
        <w:contextualSpacing/>
      </w:pPr>
      <w:r>
        <w:t>The body surface area burnt is used to determine the extent of the injury. The classification is normally done in the percentage of the body surface area burnt. One percent of body surface area is equivalent to the palm of the hand. Other parts of the body are assigned different percentages with the head assigned 18%, trunk assigned 7% on the ventral aspect, the back 7%, upper limbs 7% each and lo</w:t>
      </w:r>
      <w:r w:rsidR="006102B1">
        <w:t>wer limbs 14% each (</w:t>
      </w:r>
      <w:r w:rsidR="006102B1" w:rsidRPr="00466CD5">
        <w:rPr>
          <w:rFonts w:eastAsia="Times New Roman"/>
        </w:rPr>
        <w:t>Swords</w:t>
      </w:r>
      <w:r w:rsidR="006102B1">
        <w:t xml:space="preserve"> et al., 2015</w:t>
      </w:r>
      <w:r>
        <w:t xml:space="preserve">). </w:t>
      </w:r>
    </w:p>
    <w:p w:rsidR="00E977E2" w:rsidRDefault="00E977E2" w:rsidP="00E977E2">
      <w:pPr>
        <w:ind w:firstLine="720"/>
        <w:contextualSpacing/>
      </w:pPr>
      <w:r>
        <w:t xml:space="preserve">The extent of the body surface area burn is directly proportional to the extent of the water lost from the body. As a result, classification by the extent of body surface area burnt is very important in the management of the burn injuries. This is more crucial for children who have a very large surface area to volume ratio. Such means that with even a small percentage of body surface area lost, the child has a potential of losing a lot of water as opposed to an adult with the same percentage of the body </w:t>
      </w:r>
      <w:r w:rsidR="0025613B">
        <w:t>surface area burnt (</w:t>
      </w:r>
      <w:r w:rsidR="0025613B" w:rsidRPr="00466CD5">
        <w:rPr>
          <w:rFonts w:eastAsia="Times New Roman"/>
        </w:rPr>
        <w:t>Swords</w:t>
      </w:r>
      <w:r w:rsidR="0025613B">
        <w:t xml:space="preserve"> et al., 2015</w:t>
      </w:r>
      <w:r>
        <w:t>).</w:t>
      </w:r>
    </w:p>
    <w:p w:rsidR="00E977E2" w:rsidRPr="00E977E2" w:rsidRDefault="00E977E2" w:rsidP="00E977E2">
      <w:pPr>
        <w:contextualSpacing/>
        <w:jc w:val="center"/>
        <w:rPr>
          <w:b/>
        </w:rPr>
      </w:pPr>
      <w:r w:rsidRPr="00E977E2">
        <w:rPr>
          <w:b/>
        </w:rPr>
        <w:t>Child abuse</w:t>
      </w:r>
    </w:p>
    <w:p w:rsidR="00E977E2" w:rsidRDefault="00E977E2" w:rsidP="00E977E2">
      <w:pPr>
        <w:ind w:firstLine="720"/>
        <w:contextualSpacing/>
      </w:pPr>
      <w:r>
        <w:t>Burn injuries account for 10% of all cases of child abuse (</w:t>
      </w:r>
      <w:proofErr w:type="spellStart"/>
      <w:r>
        <w:t>Toon</w:t>
      </w:r>
      <w:proofErr w:type="spellEnd"/>
      <w:r>
        <w:t xml:space="preserve"> et al., 2011). This calls for a great suspicion for every child that presents to a health care provider whenever a child presents with burn injuries. A majority who present with burn injuries secondary to child abuse are below 2 years of age. There is no difference in the incidence of burnt child abuse between </w:t>
      </w:r>
      <w:r>
        <w:lastRenderedPageBreak/>
        <w:t>boys and girls. Children who should raise suspicion of child abuse include burns to the perineum, ankles, wrists, palms, and soles. Other factors that should raise suspicion include burns with clean lines of demarcation, the presence of older burn injuries, contradictory accounts of accidents and delays in seekin</w:t>
      </w:r>
      <w:r w:rsidR="00B479AE">
        <w:t>g treatment (</w:t>
      </w:r>
      <w:proofErr w:type="spellStart"/>
      <w:r w:rsidR="00B479AE">
        <w:t>Toon</w:t>
      </w:r>
      <w:proofErr w:type="spellEnd"/>
      <w:r w:rsidR="00B479AE">
        <w:t xml:space="preserve"> et al., 2011</w:t>
      </w:r>
      <w:r>
        <w:t>).</w:t>
      </w:r>
    </w:p>
    <w:p w:rsidR="00E977E2" w:rsidRPr="00E977E2" w:rsidRDefault="00E977E2" w:rsidP="00E977E2">
      <w:pPr>
        <w:contextualSpacing/>
        <w:jc w:val="center"/>
        <w:rPr>
          <w:b/>
        </w:rPr>
      </w:pPr>
      <w:r w:rsidRPr="00E977E2">
        <w:rPr>
          <w:b/>
        </w:rPr>
        <w:t>Criteria for Diagnosis</w:t>
      </w:r>
    </w:p>
    <w:p w:rsidR="00E977E2" w:rsidRDefault="00E977E2" w:rsidP="00E977E2">
      <w:pPr>
        <w:ind w:firstLine="720"/>
        <w:contextualSpacing/>
      </w:pPr>
      <w:r>
        <w:t>Diagnosis of burns in children is based on several factors. These factors include signs and symptoms of the presentation by the patient, history and physical examination, laboratory investigations and imaging.</w:t>
      </w:r>
    </w:p>
    <w:p w:rsidR="00E977E2" w:rsidRPr="00E977E2" w:rsidRDefault="00E977E2" w:rsidP="00E977E2">
      <w:pPr>
        <w:ind w:firstLine="720"/>
        <w:contextualSpacing/>
        <w:rPr>
          <w:b/>
          <w:i/>
        </w:rPr>
      </w:pPr>
      <w:r w:rsidRPr="00E977E2">
        <w:rPr>
          <w:b/>
          <w:i/>
        </w:rPr>
        <w:t>Signs and Symptoms of Burns in Children</w:t>
      </w:r>
    </w:p>
    <w:p w:rsidR="00E977E2" w:rsidRDefault="00E977E2" w:rsidP="00E977E2">
      <w:pPr>
        <w:ind w:firstLine="720"/>
        <w:contextualSpacing/>
      </w:pPr>
      <w:r>
        <w:t>Properties of burns in children depend upon the depth of the burn injuries and the stage of healing. The properties are also dictated upon by the cause of the burn injuries and the part of body involved. For the superficial burns, the child complains or cries of pain. The burn injuries are also visible with the breach of the skin. For the electrical burns, the point of entry and the point of exit are visible. The burn wound may appear red, yellow, brown or dark depending on the depth of the burn. In deep burns, the child may not complain of pain but may report of discomfort of a feeling of pressure. Full thickness burns may be insensitive too light touch. For flame burns accompanied by inhalational burns, the child may present with shortness of breath, hoarseness of voice, wheezing or stridor. For burn injuries that are healing, the child may present</w:t>
      </w:r>
      <w:r w:rsidR="008D1697">
        <w:t xml:space="preserve"> with itchiness (</w:t>
      </w:r>
      <w:proofErr w:type="spellStart"/>
      <w:r w:rsidR="008D1697" w:rsidRPr="00001EA5">
        <w:rPr>
          <w:rFonts w:eastAsia="Times New Roman"/>
        </w:rPr>
        <w:t>Alnababtah</w:t>
      </w:r>
      <w:proofErr w:type="spellEnd"/>
      <w:r w:rsidR="008D1697">
        <w:rPr>
          <w:rFonts w:eastAsia="Times New Roman"/>
        </w:rPr>
        <w:t xml:space="preserve"> </w:t>
      </w:r>
      <w:r w:rsidR="008D1697" w:rsidRPr="008D1697">
        <w:rPr>
          <w:rFonts w:eastAsia="Times New Roman"/>
          <w:i/>
        </w:rPr>
        <w:t>et al.,</w:t>
      </w:r>
      <w:r w:rsidR="008D1697">
        <w:rPr>
          <w:rFonts w:eastAsia="Times New Roman"/>
        </w:rPr>
        <w:t xml:space="preserve"> 2011</w:t>
      </w:r>
      <w:r>
        <w:t>).</w:t>
      </w:r>
    </w:p>
    <w:p w:rsidR="00E977E2" w:rsidRPr="00E977E2" w:rsidRDefault="00E977E2" w:rsidP="00E977E2">
      <w:pPr>
        <w:ind w:firstLine="720"/>
        <w:contextualSpacing/>
        <w:rPr>
          <w:b/>
          <w:i/>
        </w:rPr>
      </w:pPr>
      <w:r w:rsidRPr="00E977E2">
        <w:rPr>
          <w:b/>
          <w:i/>
        </w:rPr>
        <w:t>History and Physical Examination</w:t>
      </w:r>
    </w:p>
    <w:p w:rsidR="00E977E2" w:rsidRDefault="00E977E2" w:rsidP="00E977E2">
      <w:pPr>
        <w:ind w:firstLine="720"/>
        <w:contextualSpacing/>
      </w:pPr>
      <w:r>
        <w:t xml:space="preserve">History aids in the diagnosis of burns by gathering an account of the burn accident. The history also points towards the cause of the burns. Besides, history brings out the factors that predisposed the child to burns such as child abuse, low social economic living and risky </w:t>
      </w:r>
      <w:r>
        <w:lastRenderedPageBreak/>
        <w:t>behaviors. Medical conditions such as epilepsy that pre-disposes children to burns are also captured in history taking. Finally, history informs the interventions already undertaken into the child since burning occurred</w:t>
      </w:r>
      <w:r w:rsidR="00B2583C">
        <w:t xml:space="preserve"> (</w:t>
      </w:r>
      <w:proofErr w:type="spellStart"/>
      <w:r w:rsidR="00B2583C" w:rsidRPr="00001EA5">
        <w:rPr>
          <w:rFonts w:eastAsia="Times New Roman"/>
        </w:rPr>
        <w:t>Alnababtah</w:t>
      </w:r>
      <w:proofErr w:type="spellEnd"/>
      <w:r w:rsidR="00B2583C">
        <w:rPr>
          <w:rFonts w:eastAsia="Times New Roman"/>
        </w:rPr>
        <w:t xml:space="preserve"> </w:t>
      </w:r>
      <w:r w:rsidR="00B2583C" w:rsidRPr="008D1697">
        <w:rPr>
          <w:rFonts w:eastAsia="Times New Roman"/>
          <w:i/>
        </w:rPr>
        <w:t>et al.,</w:t>
      </w:r>
      <w:r w:rsidR="00B2583C">
        <w:rPr>
          <w:rFonts w:eastAsia="Times New Roman"/>
        </w:rPr>
        <w:t xml:space="preserve"> 2011)</w:t>
      </w:r>
      <w:r>
        <w:t>.</w:t>
      </w:r>
    </w:p>
    <w:p w:rsidR="00E977E2" w:rsidRDefault="00E977E2" w:rsidP="00E977E2">
      <w:pPr>
        <w:ind w:firstLine="720"/>
        <w:contextualSpacing/>
      </w:pPr>
      <w:r>
        <w:t>Physical examination is used to assess the extent of burning. The healthcare provider should note the site of injury, the appearance of the burn injury, blistering and the texture of the wound. Besides, for the electricity burns, the points of entry and exit are noted. Finally, the body surface area burnt is determined at physical examination. In addition, the physical examination is used to assess for signs of dehydration and organ failure. Besides, the physical examination is used to assess for signs of malnutrit</w:t>
      </w:r>
      <w:r w:rsidR="00583421">
        <w:t>ion and wasting (</w:t>
      </w:r>
      <w:proofErr w:type="spellStart"/>
      <w:r w:rsidR="00583421" w:rsidRPr="00001EA5">
        <w:rPr>
          <w:rFonts w:eastAsia="Times New Roman"/>
        </w:rPr>
        <w:t>Alnababtah</w:t>
      </w:r>
      <w:proofErr w:type="spellEnd"/>
      <w:r w:rsidR="00583421">
        <w:rPr>
          <w:rFonts w:eastAsia="Times New Roman"/>
        </w:rPr>
        <w:t xml:space="preserve"> </w:t>
      </w:r>
      <w:r w:rsidR="00583421" w:rsidRPr="008D1697">
        <w:rPr>
          <w:rFonts w:eastAsia="Times New Roman"/>
          <w:i/>
        </w:rPr>
        <w:t>et al.,</w:t>
      </w:r>
      <w:r w:rsidR="00583421">
        <w:rPr>
          <w:rFonts w:eastAsia="Times New Roman"/>
        </w:rPr>
        <w:t xml:space="preserve"> 2011</w:t>
      </w:r>
      <w:r>
        <w:t>).</w:t>
      </w:r>
    </w:p>
    <w:p w:rsidR="00E977E2" w:rsidRPr="00E977E2" w:rsidRDefault="00E977E2" w:rsidP="00E977E2">
      <w:pPr>
        <w:contextualSpacing/>
        <w:jc w:val="center"/>
        <w:rPr>
          <w:b/>
        </w:rPr>
      </w:pPr>
      <w:r w:rsidRPr="00E977E2">
        <w:rPr>
          <w:b/>
        </w:rPr>
        <w:t>Laboratory Examination</w:t>
      </w:r>
    </w:p>
    <w:p w:rsidR="00E977E2" w:rsidRDefault="00E977E2" w:rsidP="00E977E2">
      <w:pPr>
        <w:ind w:firstLine="720"/>
        <w:contextualSpacing/>
      </w:pPr>
      <w:r>
        <w:t>Several laboratory examinations are conducted in burnt injuries to help identify effects of the burns and assess organ injury. Besides, laboratory tests are conducted to assess for infection of the burnt surfaces. Such laboratory examinations include the following:</w:t>
      </w:r>
    </w:p>
    <w:p w:rsidR="00E977E2" w:rsidRPr="00E977E2" w:rsidRDefault="00E977E2" w:rsidP="00E977E2">
      <w:pPr>
        <w:ind w:firstLine="720"/>
        <w:contextualSpacing/>
        <w:rPr>
          <w:b/>
          <w:i/>
        </w:rPr>
      </w:pPr>
      <w:r w:rsidRPr="00E977E2">
        <w:rPr>
          <w:b/>
          <w:i/>
        </w:rPr>
        <w:t>Complete Blood Count</w:t>
      </w:r>
    </w:p>
    <w:p w:rsidR="00E977E2" w:rsidRDefault="00E977E2" w:rsidP="00E977E2">
      <w:pPr>
        <w:ind w:firstLine="720"/>
        <w:contextualSpacing/>
      </w:pPr>
      <w:r>
        <w:t xml:space="preserve">Complete blood count, otherwise known as full </w:t>
      </w:r>
      <w:proofErr w:type="spellStart"/>
      <w:r>
        <w:t>hemogram</w:t>
      </w:r>
      <w:proofErr w:type="spellEnd"/>
      <w:r>
        <w:t xml:space="preserve"> is among the first laboratory tests on b</w:t>
      </w:r>
      <w:r w:rsidR="00DE33F7">
        <w:t>urnt children (</w:t>
      </w:r>
      <w:proofErr w:type="spellStart"/>
      <w:r w:rsidR="00DE33F7" w:rsidRPr="00001EA5">
        <w:rPr>
          <w:rFonts w:eastAsia="Times New Roman"/>
        </w:rPr>
        <w:t>Alnababtah</w:t>
      </w:r>
      <w:proofErr w:type="spellEnd"/>
      <w:r w:rsidR="00DE33F7">
        <w:rPr>
          <w:rFonts w:eastAsia="Times New Roman"/>
        </w:rPr>
        <w:t xml:space="preserve"> </w:t>
      </w:r>
      <w:r w:rsidR="00DE33F7" w:rsidRPr="008D1697">
        <w:rPr>
          <w:rFonts w:eastAsia="Times New Roman"/>
          <w:i/>
        </w:rPr>
        <w:t>et al.,</w:t>
      </w:r>
      <w:r w:rsidR="00DE33F7">
        <w:rPr>
          <w:rFonts w:eastAsia="Times New Roman"/>
        </w:rPr>
        <w:t xml:space="preserve"> 2011</w:t>
      </w:r>
      <w:r>
        <w:t xml:space="preserve">). Complete blood count assesses several parameters that can be deranged in burnt patients. Full </w:t>
      </w:r>
      <w:proofErr w:type="spellStart"/>
      <w:r>
        <w:t>hemogram</w:t>
      </w:r>
      <w:proofErr w:type="spellEnd"/>
      <w:r>
        <w:t xml:space="preserve"> assesses the white blood count and differentials to determine whether the burn wounds are infected. In case of infection, the white blood count and neutrophils are elevated. Secondly, complete blood count asses the red blood count and the hemoglobin level. Hemoglobin level, which indicates the capacity of the blood to transport oxygen is normally decreased in burnt patients. The reason for low hemoglobin level in burns is due to blood loss secondary to hemorrhage and </w:t>
      </w:r>
      <w:proofErr w:type="spellStart"/>
      <w:r>
        <w:t>myelosuppression</w:t>
      </w:r>
      <w:proofErr w:type="spellEnd"/>
      <w:r>
        <w:t xml:space="preserve"> due to use of silver sulfadiazine.</w:t>
      </w:r>
    </w:p>
    <w:p w:rsidR="00E977E2" w:rsidRPr="00E977E2" w:rsidRDefault="00E977E2" w:rsidP="00E977E2">
      <w:pPr>
        <w:ind w:firstLine="720"/>
        <w:contextualSpacing/>
        <w:rPr>
          <w:b/>
          <w:i/>
        </w:rPr>
      </w:pPr>
      <w:r w:rsidRPr="00E977E2">
        <w:rPr>
          <w:b/>
          <w:i/>
        </w:rPr>
        <w:lastRenderedPageBreak/>
        <w:t>Kidney Function Test</w:t>
      </w:r>
    </w:p>
    <w:p w:rsidR="00E977E2" w:rsidRDefault="00E977E2" w:rsidP="00E977E2">
      <w:pPr>
        <w:ind w:firstLine="720"/>
        <w:contextualSpacing/>
      </w:pPr>
      <w:r>
        <w:t>Kidney function tests include the levels of urea, creatinine, and electrolytes. Kidney function tests are the first indicators of dehydration secondary to burn injuries with subsequent loss of water from the tissues. In dehydration, both the urea and creatinine levels are elevated (</w:t>
      </w:r>
      <w:proofErr w:type="spellStart"/>
      <w:r>
        <w:t>Palmieri</w:t>
      </w:r>
      <w:proofErr w:type="spellEnd"/>
      <w:r>
        <w:t xml:space="preserve"> et al., 2010).</w:t>
      </w:r>
    </w:p>
    <w:p w:rsidR="00E977E2" w:rsidRDefault="00E977E2" w:rsidP="00E977E2">
      <w:pPr>
        <w:ind w:firstLine="720"/>
        <w:contextualSpacing/>
      </w:pPr>
      <w:r>
        <w:t xml:space="preserve">Electrolytes tested should include the sodium, potassium, phosphate and calcium levels. The uric acid levels are also assessed. Burns cause breakdown of muscles, a process known as </w:t>
      </w:r>
      <w:proofErr w:type="spellStart"/>
      <w:r>
        <w:t>rhabdomyolysis</w:t>
      </w:r>
      <w:proofErr w:type="spellEnd"/>
      <w:r>
        <w:t xml:space="preserve"> resulting in the release of the nuclear content. This gives a scenario similar to tumor </w:t>
      </w:r>
      <w:proofErr w:type="spellStart"/>
      <w:r>
        <w:t>lysis</w:t>
      </w:r>
      <w:proofErr w:type="spellEnd"/>
      <w:r>
        <w:t xml:space="preserve"> syndrome. </w:t>
      </w:r>
      <w:proofErr w:type="spellStart"/>
      <w:r>
        <w:t>Rhabdomyolysis</w:t>
      </w:r>
      <w:proofErr w:type="spellEnd"/>
      <w:r>
        <w:t xml:space="preserve"> causes kidney failure resulting in derangement of the kidney function tests (</w:t>
      </w:r>
      <w:proofErr w:type="spellStart"/>
      <w:r>
        <w:t>Palmieri</w:t>
      </w:r>
      <w:proofErr w:type="spellEnd"/>
      <w:r>
        <w:t xml:space="preserve"> et al., 2010).</w:t>
      </w:r>
    </w:p>
    <w:p w:rsidR="00E977E2" w:rsidRPr="00E977E2" w:rsidRDefault="00E977E2" w:rsidP="00E977E2">
      <w:pPr>
        <w:ind w:firstLine="720"/>
        <w:contextualSpacing/>
        <w:rPr>
          <w:b/>
          <w:i/>
        </w:rPr>
      </w:pPr>
      <w:r w:rsidRPr="00E977E2">
        <w:rPr>
          <w:b/>
          <w:i/>
        </w:rPr>
        <w:t>Liver Function Tests</w:t>
      </w:r>
    </w:p>
    <w:p w:rsidR="00E977E2" w:rsidRDefault="00E977E2" w:rsidP="00E977E2">
      <w:pPr>
        <w:ind w:firstLine="720"/>
        <w:contextualSpacing/>
      </w:pPr>
      <w:r>
        <w:t xml:space="preserve">Liver function tests include the hepatocellular and cholestasis enzymes. The </w:t>
      </w:r>
      <w:proofErr w:type="spellStart"/>
      <w:r>
        <w:t>iso</w:t>
      </w:r>
      <w:proofErr w:type="spellEnd"/>
      <w:r>
        <w:t>-enzymes are normally deranged. Besides, the albumin levels and the total protein levels are normally decreased in burn patients due to malnutrition.</w:t>
      </w:r>
    </w:p>
    <w:p w:rsidR="00E977E2" w:rsidRPr="00E977E2" w:rsidRDefault="00E977E2" w:rsidP="00E977E2">
      <w:pPr>
        <w:ind w:firstLine="720"/>
        <w:contextualSpacing/>
        <w:rPr>
          <w:b/>
          <w:i/>
        </w:rPr>
      </w:pPr>
      <w:r w:rsidRPr="00E977E2">
        <w:rPr>
          <w:b/>
          <w:i/>
        </w:rPr>
        <w:t>Imaging</w:t>
      </w:r>
    </w:p>
    <w:p w:rsidR="00E977E2" w:rsidRDefault="00E977E2" w:rsidP="00E977E2">
      <w:pPr>
        <w:ind w:firstLine="720"/>
        <w:contextualSpacing/>
      </w:pPr>
      <w:r>
        <w:t>Imaging in burn children includes ultra-sound for the abdomen to assess the liver, the kidneys and other organs of the abdomen. Imaging can also entail plain radiographs for the bones over the burnt surfaces.</w:t>
      </w:r>
    </w:p>
    <w:p w:rsidR="00E977E2" w:rsidRPr="00E977E2" w:rsidRDefault="00E977E2" w:rsidP="00E977E2">
      <w:pPr>
        <w:ind w:firstLine="720"/>
        <w:contextualSpacing/>
        <w:rPr>
          <w:b/>
        </w:rPr>
      </w:pPr>
      <w:r w:rsidRPr="00E977E2">
        <w:rPr>
          <w:b/>
        </w:rPr>
        <w:t>Medical Management of Burns in Children and Their Nutritional Consequences</w:t>
      </w:r>
    </w:p>
    <w:p w:rsidR="00E977E2" w:rsidRPr="00E977E2" w:rsidRDefault="00E977E2" w:rsidP="00E977E2">
      <w:pPr>
        <w:ind w:firstLine="720"/>
        <w:contextualSpacing/>
        <w:rPr>
          <w:b/>
          <w:i/>
        </w:rPr>
      </w:pPr>
      <w:r w:rsidRPr="00E977E2">
        <w:rPr>
          <w:b/>
          <w:i/>
        </w:rPr>
        <w:t>Pain Management</w:t>
      </w:r>
    </w:p>
    <w:p w:rsidR="00E977E2" w:rsidRDefault="00E977E2" w:rsidP="00E977E2">
      <w:pPr>
        <w:ind w:firstLine="720"/>
        <w:contextualSpacing/>
      </w:pPr>
      <w:r>
        <w:t>Strong analgesics such as opiates and non-steroidal anti-inflammatory drugs (NSAIDS) are administered to burn patients to decrease pain</w:t>
      </w:r>
      <w:r w:rsidR="00677A4A">
        <w:t xml:space="preserve"> (</w:t>
      </w:r>
      <w:proofErr w:type="spellStart"/>
      <w:r w:rsidR="00677A4A" w:rsidRPr="00146224">
        <w:rPr>
          <w:rFonts w:eastAsia="Times New Roman"/>
        </w:rPr>
        <w:t>Yuxiang</w:t>
      </w:r>
      <w:proofErr w:type="spellEnd"/>
      <w:r w:rsidR="00677A4A">
        <w:rPr>
          <w:rFonts w:eastAsia="Times New Roman"/>
        </w:rPr>
        <w:t xml:space="preserve"> </w:t>
      </w:r>
      <w:r w:rsidR="00677A4A" w:rsidRPr="00377C26">
        <w:rPr>
          <w:rFonts w:eastAsia="Times New Roman"/>
          <w:i/>
        </w:rPr>
        <w:t>et al.,</w:t>
      </w:r>
      <w:r w:rsidR="00677A4A">
        <w:rPr>
          <w:rFonts w:eastAsia="Times New Roman"/>
        </w:rPr>
        <w:t xml:space="preserve"> 2012)</w:t>
      </w:r>
      <w:r>
        <w:t xml:space="preserve">. However, NSAIDs are known to cause gastric ulcers. Besides, burns cause gastric ulcers as one of the complications </w:t>
      </w:r>
      <w:r>
        <w:lastRenderedPageBreak/>
        <w:t>through vagal stimulation. This additive effect of NSAIDs and burns to cause gastric ulcers call nutritionists to administer food that has high pH to help minimize adverse side effects. Besides, burn patients should be put on Proton pump inhibitors as prophylaxis to gastric ulcers</w:t>
      </w:r>
      <w:r w:rsidR="00924F27">
        <w:t xml:space="preserve"> (</w:t>
      </w:r>
      <w:r w:rsidR="00924F27" w:rsidRPr="00FF6531">
        <w:rPr>
          <w:rFonts w:eastAsia="Times New Roman"/>
        </w:rPr>
        <w:t>Markell</w:t>
      </w:r>
      <w:r w:rsidR="00924F27">
        <w:rPr>
          <w:rFonts w:eastAsia="Times New Roman"/>
        </w:rPr>
        <w:t xml:space="preserve"> </w:t>
      </w:r>
      <w:r w:rsidR="00924F27" w:rsidRPr="00924F27">
        <w:rPr>
          <w:rFonts w:eastAsia="Times New Roman"/>
          <w:i/>
        </w:rPr>
        <w:t>et al.,</w:t>
      </w:r>
      <w:r w:rsidR="00924F27">
        <w:rPr>
          <w:rFonts w:eastAsia="Times New Roman"/>
        </w:rPr>
        <w:t xml:space="preserve"> 2009</w:t>
      </w:r>
      <w:r w:rsidR="00924F27">
        <w:t>)</w:t>
      </w:r>
      <w:r>
        <w:t>.</w:t>
      </w:r>
    </w:p>
    <w:p w:rsidR="00E977E2" w:rsidRPr="00E977E2" w:rsidRDefault="00E977E2" w:rsidP="00E977E2">
      <w:pPr>
        <w:ind w:firstLine="720"/>
        <w:contextualSpacing/>
        <w:rPr>
          <w:b/>
          <w:i/>
        </w:rPr>
      </w:pPr>
      <w:r w:rsidRPr="00E977E2">
        <w:rPr>
          <w:b/>
          <w:i/>
        </w:rPr>
        <w:t>Fluid Resuscitation</w:t>
      </w:r>
    </w:p>
    <w:p w:rsidR="00E977E2" w:rsidRDefault="00E977E2" w:rsidP="00E977E2">
      <w:pPr>
        <w:ind w:firstLine="720"/>
        <w:contextualSpacing/>
      </w:pPr>
      <w:r>
        <w:t>Fluid resuscitation is the mainstay of treatment in burnt children. Fluid resuscitation is necessary to replace the water lost through the burnt surface</w:t>
      </w:r>
      <w:r w:rsidR="00D07DB3">
        <w:t xml:space="preserve"> (</w:t>
      </w:r>
      <w:r w:rsidR="00D07DB3" w:rsidRPr="000F2240">
        <w:rPr>
          <w:rFonts w:eastAsia="Times New Roman"/>
        </w:rPr>
        <w:t>Kraft</w:t>
      </w:r>
      <w:r w:rsidR="00D07DB3">
        <w:rPr>
          <w:rFonts w:eastAsia="Times New Roman"/>
        </w:rPr>
        <w:t xml:space="preserve"> </w:t>
      </w:r>
      <w:r w:rsidR="00D07DB3" w:rsidRPr="00D07DB3">
        <w:rPr>
          <w:rFonts w:eastAsia="Times New Roman"/>
          <w:i/>
        </w:rPr>
        <w:t>et al.,</w:t>
      </w:r>
      <w:r w:rsidR="00D07DB3">
        <w:rPr>
          <w:rFonts w:eastAsia="Times New Roman"/>
        </w:rPr>
        <w:t xml:space="preserve"> 2013)</w:t>
      </w:r>
      <w:r>
        <w:t>. The amount of water replaced is based on the percentage of body surface area burnt. The amount is calculated using different methods but the commonest method called Parkland formula is a product of the body surface area burn, the weight of the child and the constant, normally four.</w:t>
      </w:r>
    </w:p>
    <w:p w:rsidR="00E977E2" w:rsidRDefault="00E977E2" w:rsidP="00E977E2">
      <w:pPr>
        <w:ind w:firstLine="720"/>
        <w:contextualSpacing/>
      </w:pPr>
      <w:r>
        <w:t>The fluid used for rehydration is the lactated Ringers or normal saline</w:t>
      </w:r>
      <w:r w:rsidR="003E39C6">
        <w:t xml:space="preserve"> (</w:t>
      </w:r>
      <w:r w:rsidR="003E39C6" w:rsidRPr="000F2240">
        <w:rPr>
          <w:rFonts w:eastAsia="Times New Roman"/>
        </w:rPr>
        <w:t>Kraft</w:t>
      </w:r>
      <w:r w:rsidR="003E39C6">
        <w:rPr>
          <w:rFonts w:eastAsia="Times New Roman"/>
        </w:rPr>
        <w:t xml:space="preserve"> </w:t>
      </w:r>
      <w:r w:rsidR="003E39C6" w:rsidRPr="00D07DB3">
        <w:rPr>
          <w:rFonts w:eastAsia="Times New Roman"/>
          <w:i/>
        </w:rPr>
        <w:t>et al.,</w:t>
      </w:r>
      <w:r w:rsidR="003E39C6">
        <w:rPr>
          <w:rFonts w:eastAsia="Times New Roman"/>
        </w:rPr>
        <w:t xml:space="preserve"> 2013)</w:t>
      </w:r>
      <w:r>
        <w:t>. Besides, dextrose, D5 is also used especially when the random blood sugar is below 3mmol/L. The glycogen stores in children are easily depleted in burns as the body burns more energy to maintain basal body temperature and yield more energy. As a result, nutritionists are called upon to ensure intake of energy-rich feeds. Nutritionists should also monitor the random blood sugars routinely.</w:t>
      </w:r>
    </w:p>
    <w:p w:rsidR="00E977E2" w:rsidRPr="00E977E2" w:rsidRDefault="00E977E2" w:rsidP="00E977E2">
      <w:pPr>
        <w:ind w:firstLine="720"/>
        <w:contextualSpacing/>
        <w:rPr>
          <w:b/>
          <w:i/>
        </w:rPr>
      </w:pPr>
      <w:r w:rsidRPr="00E977E2">
        <w:rPr>
          <w:b/>
          <w:i/>
        </w:rPr>
        <w:t>Antibiotics</w:t>
      </w:r>
    </w:p>
    <w:p w:rsidR="00E977E2" w:rsidRDefault="00E977E2" w:rsidP="00E977E2">
      <w:pPr>
        <w:ind w:firstLine="720"/>
        <w:contextualSpacing/>
      </w:pPr>
      <w:r>
        <w:t xml:space="preserve">Topical antibiotics and system antibiotics are normally administered in burnt children to prevent sepsis of the burn wounds. The main systemic antibiotics used are third generation antibiotics. The main topical antibiotics used are silver sulfadiazine, silver nitrate, and </w:t>
      </w:r>
      <w:proofErr w:type="spellStart"/>
      <w:r>
        <w:t>mafenide</w:t>
      </w:r>
      <w:proofErr w:type="spellEnd"/>
      <w:r>
        <w:t xml:space="preserve"> acetate. These topical antibiotics normally cause the decrease in hemoglobin levels due to </w:t>
      </w:r>
      <w:proofErr w:type="spellStart"/>
      <w:r>
        <w:t>myelosuppression</w:t>
      </w:r>
      <w:proofErr w:type="spellEnd"/>
      <w:r>
        <w:t>. To boost the hemoglobin level, the burn patients require feeds rich in protein levels.</w:t>
      </w:r>
    </w:p>
    <w:p w:rsidR="00E977E2" w:rsidRPr="00E977E2" w:rsidRDefault="00E977E2" w:rsidP="00E977E2">
      <w:pPr>
        <w:ind w:firstLine="720"/>
        <w:contextualSpacing/>
        <w:rPr>
          <w:b/>
          <w:i/>
        </w:rPr>
      </w:pPr>
      <w:r w:rsidRPr="00E977E2">
        <w:rPr>
          <w:b/>
          <w:i/>
        </w:rPr>
        <w:lastRenderedPageBreak/>
        <w:t>Physiotherapy</w:t>
      </w:r>
    </w:p>
    <w:p w:rsidR="00E977E2" w:rsidRDefault="00E977E2" w:rsidP="00E977E2">
      <w:pPr>
        <w:ind w:firstLine="720"/>
        <w:contextualSpacing/>
      </w:pPr>
      <w:r>
        <w:t>Burn children should be put on daily exercises and physiotherapy. These children are at an increased risk of developing contractures and joint stiffness. Besides, they are at the hyper</w:t>
      </w:r>
      <w:r w:rsidR="00FD7BA1">
        <w:t xml:space="preserve"> </w:t>
      </w:r>
      <w:proofErr w:type="spellStart"/>
      <w:r>
        <w:t>coagulable</w:t>
      </w:r>
      <w:proofErr w:type="spellEnd"/>
      <w:r>
        <w:t xml:space="preserve"> state and can easily develop thromboembolic disorders. To minimize these complications, the burnt children should be on physiotherapy.</w:t>
      </w:r>
    </w:p>
    <w:p w:rsidR="00E977E2" w:rsidRPr="00E977E2" w:rsidRDefault="00E977E2" w:rsidP="00E977E2">
      <w:pPr>
        <w:ind w:firstLine="720"/>
        <w:contextualSpacing/>
        <w:jc w:val="center"/>
        <w:rPr>
          <w:b/>
        </w:rPr>
      </w:pPr>
      <w:r w:rsidRPr="00E977E2">
        <w:rPr>
          <w:b/>
        </w:rPr>
        <w:t>Dietary Mechanisms of Treatment Burns in Pediatrics</w:t>
      </w:r>
    </w:p>
    <w:p w:rsidR="00E977E2" w:rsidRDefault="00E977E2" w:rsidP="00E977E2">
      <w:pPr>
        <w:ind w:firstLine="720"/>
        <w:contextualSpacing/>
      </w:pPr>
      <w:r>
        <w:t>Nutritionists are an integral part of the multi-disciplinary team that manages burn injuries in children. Burns leads to increased metabolic demand and energy requirements. For burns, more than 40% of body surface area increases resting metabolic rate up to more than 200%. Protein hyper</w:t>
      </w:r>
      <w:r w:rsidR="008B1188">
        <w:t>-</w:t>
      </w:r>
      <w:r>
        <w:t>catabolism increases the protein demand to more than 2.0g/Kg/day to facilitate</w:t>
      </w:r>
      <w:r w:rsidR="00E80676">
        <w:t xml:space="preserve"> the process of healing (</w:t>
      </w:r>
      <w:r w:rsidR="00E80676" w:rsidRPr="009247DF">
        <w:rPr>
          <w:rFonts w:eastAsia="Times New Roman"/>
        </w:rPr>
        <w:t>Rodriguez</w:t>
      </w:r>
      <w:r w:rsidR="00E80676">
        <w:t xml:space="preserve"> et al., 2011</w:t>
      </w:r>
      <w:r>
        <w:t>). Besides, other effects of burn include a decrease in albumin level and a decrease in the level of hemoglobin. In addition, the body uses so many calories to try to maintain the body metabolic temperature. The result of this is glycogen depletion especially in children who have low glycogen stores</w:t>
      </w:r>
      <w:r w:rsidR="0091715D">
        <w:t xml:space="preserve"> (</w:t>
      </w:r>
      <w:r w:rsidR="0091715D" w:rsidRPr="009247DF">
        <w:rPr>
          <w:rFonts w:eastAsia="Times New Roman"/>
        </w:rPr>
        <w:t>Rodriguez</w:t>
      </w:r>
      <w:r w:rsidR="0091715D">
        <w:t xml:space="preserve"> et al., 2011)</w:t>
      </w:r>
      <w:r>
        <w:t>. Finally, the burns easily lead to depletion of micro-nutrients such as vitamin C and vitamin E, zinc and others in the process of healing. These metabolic changes require the input of nutritionists.</w:t>
      </w:r>
    </w:p>
    <w:p w:rsidR="00E977E2" w:rsidRDefault="00E977E2" w:rsidP="00E977E2">
      <w:pPr>
        <w:ind w:firstLine="720"/>
        <w:contextualSpacing/>
      </w:pPr>
      <w:r>
        <w:t>Nutritional management in burnt children has several goals. Such goals are to optimize wound healing and ensure recovery from the burn injuries. The nutritional management also seeks to minimize risks of complications such as infections in the course of treatment. In addition, nutritional management ensures to attain and maintain optimum nutritional status. Finally, nutritionist wants to minimize metabolic disturbance during the acute phase of burn inju</w:t>
      </w:r>
      <w:r w:rsidR="00542B76">
        <w:t>ries (</w:t>
      </w:r>
      <w:r w:rsidR="00542B76" w:rsidRPr="009247DF">
        <w:rPr>
          <w:rFonts w:eastAsia="Times New Roman"/>
        </w:rPr>
        <w:t>Rodriguez</w:t>
      </w:r>
      <w:r w:rsidR="00542B76">
        <w:t xml:space="preserve"> et al., 2011)</w:t>
      </w:r>
      <w:r>
        <w:t xml:space="preserve">. </w:t>
      </w:r>
    </w:p>
    <w:p w:rsidR="00E977E2" w:rsidRDefault="00E977E2" w:rsidP="00E977E2">
      <w:pPr>
        <w:ind w:firstLine="720"/>
        <w:contextualSpacing/>
      </w:pPr>
      <w:r>
        <w:lastRenderedPageBreak/>
        <w:t>The objectives of nutritional management of children with burns include early commencement of enteral feeding; prevention of micro-nutrient deficiency; maintenance of weight within 10% of the body weight prior to the occurrence of burns and minimization of high levels of triglycerides an</w:t>
      </w:r>
      <w:r w:rsidR="009C48BC">
        <w:t>d glucose (</w:t>
      </w:r>
      <w:r w:rsidR="009C48BC" w:rsidRPr="009247DF">
        <w:rPr>
          <w:rFonts w:eastAsia="Times New Roman"/>
        </w:rPr>
        <w:t>Rodriguez</w:t>
      </w:r>
      <w:r w:rsidR="009C48BC">
        <w:t xml:space="preserve"> et al., 2011)</w:t>
      </w:r>
      <w:r>
        <w:t>. To achieve these objectives, nutritional management should entail the following.</w:t>
      </w:r>
    </w:p>
    <w:p w:rsidR="00E977E2" w:rsidRPr="00E977E2" w:rsidRDefault="00E977E2" w:rsidP="00E977E2">
      <w:pPr>
        <w:contextualSpacing/>
        <w:jc w:val="center"/>
        <w:rPr>
          <w:b/>
        </w:rPr>
      </w:pPr>
      <w:r w:rsidRPr="00E977E2">
        <w:rPr>
          <w:b/>
        </w:rPr>
        <w:t>Early Commencement of Enteral Feeding</w:t>
      </w:r>
    </w:p>
    <w:p w:rsidR="00E977E2" w:rsidRDefault="00E977E2" w:rsidP="00E977E2">
      <w:pPr>
        <w:ind w:firstLine="720"/>
        <w:contextualSpacing/>
      </w:pPr>
      <w:r>
        <w:t>Early enteral feeding ensures the optimal outcome. The nutritionist should provide nutrition preferably via the enteral route with six to eighteen hours of burn injury</w:t>
      </w:r>
      <w:r w:rsidR="00E70D9A">
        <w:t xml:space="preserve"> (</w:t>
      </w:r>
      <w:proofErr w:type="spellStart"/>
      <w:r w:rsidR="00E70D9A" w:rsidRPr="007159CB">
        <w:rPr>
          <w:rFonts w:eastAsia="Times New Roman"/>
        </w:rPr>
        <w:t>Kh</w:t>
      </w:r>
      <w:r w:rsidR="00E70D9A">
        <w:rPr>
          <w:rFonts w:eastAsia="Times New Roman"/>
        </w:rPr>
        <w:t>orasani</w:t>
      </w:r>
      <w:proofErr w:type="spellEnd"/>
      <w:r w:rsidR="00E70D9A">
        <w:rPr>
          <w:rFonts w:eastAsia="Times New Roman"/>
        </w:rPr>
        <w:t xml:space="preserve"> &amp; </w:t>
      </w:r>
      <w:proofErr w:type="spellStart"/>
      <w:r w:rsidR="00E70D9A">
        <w:rPr>
          <w:rFonts w:eastAsia="Times New Roman"/>
        </w:rPr>
        <w:t>Mansouri</w:t>
      </w:r>
      <w:proofErr w:type="spellEnd"/>
      <w:r w:rsidR="00E70D9A">
        <w:rPr>
          <w:rFonts w:eastAsia="Times New Roman"/>
        </w:rPr>
        <w:t xml:space="preserve">, </w:t>
      </w:r>
      <w:r w:rsidR="00E70D9A" w:rsidRPr="007159CB">
        <w:rPr>
          <w:rFonts w:eastAsia="Times New Roman"/>
        </w:rPr>
        <w:t>2010</w:t>
      </w:r>
      <w:r w:rsidR="00E70D9A">
        <w:t>)</w:t>
      </w:r>
      <w:r>
        <w:t>. The enteral route is preferred to parenteral route as enteral route ensures improved nitrogen balance; improved visceral immunity through stimulation of type visceral immunoglobulin; minimizes hyper</w:t>
      </w:r>
      <w:r w:rsidR="006A50B9">
        <w:t>-</w:t>
      </w:r>
      <w:r>
        <w:t>metabolic response and decreases mortality generally. A nasal-gastric tube should be instituted for feeding the children who cannot optimize enteral feeding due to burns to the face or the</w:t>
      </w:r>
      <w:r w:rsidR="00BD0A55">
        <w:t xml:space="preserve"> mouth </w:t>
      </w:r>
      <w:r w:rsidR="005A1EAF">
        <w:t>(</w:t>
      </w:r>
      <w:proofErr w:type="spellStart"/>
      <w:r w:rsidR="005A1EAF" w:rsidRPr="007159CB">
        <w:rPr>
          <w:rFonts w:eastAsia="Times New Roman"/>
        </w:rPr>
        <w:t>Kh</w:t>
      </w:r>
      <w:r w:rsidR="005A1EAF">
        <w:rPr>
          <w:rFonts w:eastAsia="Times New Roman"/>
        </w:rPr>
        <w:t>orasani</w:t>
      </w:r>
      <w:proofErr w:type="spellEnd"/>
      <w:r w:rsidR="005A1EAF">
        <w:rPr>
          <w:rFonts w:eastAsia="Times New Roman"/>
        </w:rPr>
        <w:t xml:space="preserve"> &amp; </w:t>
      </w:r>
      <w:proofErr w:type="spellStart"/>
      <w:r w:rsidR="005A1EAF">
        <w:rPr>
          <w:rFonts w:eastAsia="Times New Roman"/>
        </w:rPr>
        <w:t>Mansouri</w:t>
      </w:r>
      <w:proofErr w:type="spellEnd"/>
      <w:r w:rsidR="005A1EAF">
        <w:rPr>
          <w:rFonts w:eastAsia="Times New Roman"/>
        </w:rPr>
        <w:t xml:space="preserve">, </w:t>
      </w:r>
      <w:r w:rsidR="005A1EAF" w:rsidRPr="007159CB">
        <w:rPr>
          <w:rFonts w:eastAsia="Times New Roman"/>
        </w:rPr>
        <w:t>2010</w:t>
      </w:r>
      <w:r w:rsidR="005A1EAF">
        <w:t>)</w:t>
      </w:r>
      <w:r>
        <w:t xml:space="preserve">. </w:t>
      </w:r>
    </w:p>
    <w:p w:rsidR="00E977E2" w:rsidRPr="00E977E2" w:rsidRDefault="00E977E2" w:rsidP="00CB57A5">
      <w:pPr>
        <w:ind w:firstLine="720"/>
        <w:contextualSpacing/>
        <w:rPr>
          <w:b/>
          <w:i/>
        </w:rPr>
      </w:pPr>
      <w:r w:rsidRPr="00E977E2">
        <w:rPr>
          <w:b/>
          <w:i/>
        </w:rPr>
        <w:t>High Protein Diet</w:t>
      </w:r>
    </w:p>
    <w:p w:rsidR="00E977E2" w:rsidRDefault="00E977E2" w:rsidP="00E977E2">
      <w:pPr>
        <w:ind w:firstLine="720"/>
        <w:contextualSpacing/>
      </w:pPr>
      <w:r>
        <w:t>Healing of burn wounds requires formation of new body cells. This requires a lot of amino acids. Besides, burns yield hyper</w:t>
      </w:r>
      <w:r w:rsidR="00073560">
        <w:t>-</w:t>
      </w:r>
      <w:r>
        <w:t>catabolism of proteins. To supply the high demand for amino acids, burnt children require food rich in proteins. In addition, the body requires more amino acids for the formation of globulins in hemoglobin synthesis to raise the oxygen-carrying capacity. The goal of protein supplementation is to provide at least 20% of calories from protein diet. Adequate protein supplementation can also be assessed by frequently measuring the albumin levels and the</w:t>
      </w:r>
      <w:r w:rsidR="00490340">
        <w:t xml:space="preserve"> levels of beta-transferrin (</w:t>
      </w:r>
      <w:r w:rsidR="00490340" w:rsidRPr="009247DF">
        <w:rPr>
          <w:rFonts w:eastAsia="Times New Roman"/>
        </w:rPr>
        <w:t>Rodriguez</w:t>
      </w:r>
      <w:r w:rsidR="00490340">
        <w:t xml:space="preserve"> et al., 2011)</w:t>
      </w:r>
      <w:r>
        <w:t>.</w:t>
      </w:r>
    </w:p>
    <w:p w:rsidR="00E977E2" w:rsidRPr="00E977E2" w:rsidRDefault="00E977E2" w:rsidP="00E977E2">
      <w:pPr>
        <w:ind w:firstLine="720"/>
        <w:contextualSpacing/>
        <w:rPr>
          <w:b/>
          <w:i/>
        </w:rPr>
      </w:pPr>
      <w:r w:rsidRPr="00E977E2">
        <w:rPr>
          <w:b/>
          <w:i/>
        </w:rPr>
        <w:t>Energy Supplementation</w:t>
      </w:r>
    </w:p>
    <w:p w:rsidR="00E977E2" w:rsidRDefault="00E977E2" w:rsidP="00E977E2">
      <w:pPr>
        <w:ind w:firstLine="720"/>
        <w:contextualSpacing/>
      </w:pPr>
      <w:r>
        <w:lastRenderedPageBreak/>
        <w:t xml:space="preserve">Burn injuries result in high metabolism. The rate of energy demand is directly proportional to the size of the body surface area burnt. The glycogen stores of children are small and are easily depleted in burns. To replenish the glycogen stores, the child should be put on high energy feeds. Such feeds may include the therapeutic feeds such as F100 and </w:t>
      </w:r>
      <w:r w:rsidR="005D7590">
        <w:t>feeds rich in carbohydrates (</w:t>
      </w:r>
      <w:r w:rsidR="005D7590" w:rsidRPr="009247DF">
        <w:rPr>
          <w:rFonts w:eastAsia="Times New Roman"/>
        </w:rPr>
        <w:t>Rodriguez</w:t>
      </w:r>
      <w:r w:rsidR="005D7590">
        <w:t xml:space="preserve"> et al., 2011)</w:t>
      </w:r>
      <w:r>
        <w:t>.</w:t>
      </w:r>
    </w:p>
    <w:p w:rsidR="00E977E2" w:rsidRPr="00E977E2" w:rsidRDefault="00E977E2" w:rsidP="00E977E2">
      <w:pPr>
        <w:ind w:firstLine="720"/>
        <w:contextualSpacing/>
        <w:rPr>
          <w:b/>
          <w:i/>
        </w:rPr>
      </w:pPr>
      <w:r w:rsidRPr="00E977E2">
        <w:rPr>
          <w:b/>
          <w:i/>
        </w:rPr>
        <w:t>Micronutrient Supplementation</w:t>
      </w:r>
    </w:p>
    <w:p w:rsidR="00E977E2" w:rsidRDefault="00E977E2" w:rsidP="00E977E2">
      <w:pPr>
        <w:ind w:firstLine="720"/>
        <w:contextualSpacing/>
      </w:pPr>
      <w:r>
        <w:t>Burn injuries have the high demand for nutrients associated with immune function and the process of healing. Such nutrients include zinc and vitamins A, C, E and the B vitamins. These micro-nutrients need to be supplemented using therapeutic feeds or additives such as arginine and fish-oil (</w:t>
      </w:r>
      <w:r w:rsidR="001E3C67" w:rsidRPr="00AB2E1C">
        <w:rPr>
          <w:rFonts w:eastAsia="Times New Roman"/>
        </w:rPr>
        <w:t>Rousseau</w:t>
      </w:r>
      <w:r w:rsidR="001E3C67">
        <w:rPr>
          <w:rFonts w:eastAsia="Times New Roman"/>
        </w:rPr>
        <w:t xml:space="preserve"> </w:t>
      </w:r>
      <w:r w:rsidR="001E3C67" w:rsidRPr="001E3C67">
        <w:rPr>
          <w:rFonts w:eastAsia="Times New Roman"/>
          <w:i/>
        </w:rPr>
        <w:t>et al.,</w:t>
      </w:r>
      <w:r w:rsidR="001E3C67">
        <w:rPr>
          <w:rFonts w:eastAsia="Times New Roman"/>
        </w:rPr>
        <w:t xml:space="preserve"> 2013</w:t>
      </w:r>
      <w:r>
        <w:t>).</w:t>
      </w:r>
    </w:p>
    <w:p w:rsidR="00E977E2" w:rsidRPr="00E977E2" w:rsidRDefault="00E977E2" w:rsidP="00E977E2">
      <w:pPr>
        <w:contextualSpacing/>
        <w:jc w:val="center"/>
        <w:rPr>
          <w:b/>
        </w:rPr>
      </w:pPr>
      <w:r w:rsidRPr="00E977E2">
        <w:rPr>
          <w:b/>
        </w:rPr>
        <w:t>Prognosis of Burns in Pediatrics</w:t>
      </w:r>
    </w:p>
    <w:p w:rsidR="00E977E2" w:rsidRDefault="00E977E2" w:rsidP="00E977E2">
      <w:pPr>
        <w:ind w:firstLine="720"/>
        <w:contextualSpacing/>
      </w:pPr>
      <w:r>
        <w:t>The prognosis of burns in pediatrics is guarded. Prognosis is depended on factors such as the depth of the burns, region of the body involved and the management of</w:t>
      </w:r>
      <w:r w:rsidR="005A38ED">
        <w:t>fered to the burnt child (</w:t>
      </w:r>
      <w:proofErr w:type="spellStart"/>
      <w:r w:rsidR="005A38ED" w:rsidRPr="006529D7">
        <w:rPr>
          <w:rFonts w:eastAsia="Times New Roman"/>
        </w:rPr>
        <w:t>Pavoni</w:t>
      </w:r>
      <w:proofErr w:type="spellEnd"/>
      <w:r w:rsidR="005A38ED">
        <w:t xml:space="preserve"> et al., 2010</w:t>
      </w:r>
      <w:r>
        <w:t>). For the first degree burns, healing occurs in 5-10 days without scarring. In the second degree burns, healing can take as long as 8 weeks with scarring in the deep thickness second degree burns. In third and fourth degree burns, healing is associated with a lot of scarring and takes longer to heal. Besides, healing is accompanied by complications such as contractures especially if the burns spanned across joints and physiotherapy was not maximized. In the extreme cases, there is massive loss of organ function with great impairment.  Amputation of limbs is required in the very extreme cases of complications.</w:t>
      </w:r>
    </w:p>
    <w:p w:rsidR="00E977E2" w:rsidRDefault="00E977E2" w:rsidP="00E977E2">
      <w:pPr>
        <w:ind w:firstLine="720"/>
        <w:contextualSpacing/>
      </w:pPr>
      <w:r>
        <w:t>Complications of burns can be classified as acute or chronic complications</w:t>
      </w:r>
      <w:r w:rsidR="00C32CF4">
        <w:t xml:space="preserve"> (</w:t>
      </w:r>
      <w:proofErr w:type="spellStart"/>
      <w:r w:rsidR="00C32CF4" w:rsidRPr="006529D7">
        <w:rPr>
          <w:rFonts w:eastAsia="Times New Roman"/>
        </w:rPr>
        <w:t>Pavoni</w:t>
      </w:r>
      <w:proofErr w:type="spellEnd"/>
      <w:r w:rsidR="00C32CF4">
        <w:t xml:space="preserve"> et al., 2010)</w:t>
      </w:r>
      <w:r>
        <w:t xml:space="preserve">. Acute complications occur immediately after burning takes place. Such complications include pain, dehydration leading to organ failure, hemorrhage, and hemolysis. Other acute </w:t>
      </w:r>
      <w:r>
        <w:lastRenderedPageBreak/>
        <w:t xml:space="preserve">complications include sepsis and </w:t>
      </w:r>
      <w:proofErr w:type="spellStart"/>
      <w:r>
        <w:t>rhabdomyolysis</w:t>
      </w:r>
      <w:proofErr w:type="spellEnd"/>
      <w:r w:rsidR="00C32CF4">
        <w:t xml:space="preserve"> (</w:t>
      </w:r>
      <w:proofErr w:type="spellStart"/>
      <w:r w:rsidR="00C32CF4" w:rsidRPr="006529D7">
        <w:rPr>
          <w:rFonts w:eastAsia="Times New Roman"/>
        </w:rPr>
        <w:t>Pavoni</w:t>
      </w:r>
      <w:proofErr w:type="spellEnd"/>
      <w:r w:rsidR="00C32CF4">
        <w:t xml:space="preserve"> et al., 2010)</w:t>
      </w:r>
      <w:r>
        <w:t>. Chronic complications occur due to poor management. Such complications include contractures, function impairments, loss of body parts by amputations, anemia and micro-nutrient deficiency.</w:t>
      </w:r>
    </w:p>
    <w:p w:rsidR="001464A7" w:rsidRDefault="001464A7" w:rsidP="00452273">
      <w:pPr>
        <w:ind w:left="720" w:hanging="720"/>
        <w:contextualSpacing/>
        <w:jc w:val="center"/>
        <w:sectPr w:rsidR="001464A7" w:rsidSect="00E977E2">
          <w:headerReference w:type="default" r:id="rId7"/>
          <w:headerReference w:type="first" r:id="rId8"/>
          <w:pgSz w:w="12240" w:h="15840"/>
          <w:pgMar w:top="1440" w:right="1440" w:bottom="1440" w:left="1440" w:header="720" w:footer="720" w:gutter="0"/>
          <w:cols w:space="720"/>
          <w:titlePg/>
          <w:docGrid w:linePitch="360"/>
        </w:sectPr>
      </w:pPr>
    </w:p>
    <w:p w:rsidR="001464A7" w:rsidRPr="00F84DAE" w:rsidRDefault="001464A7" w:rsidP="00452273">
      <w:pPr>
        <w:ind w:left="720" w:hanging="720"/>
        <w:contextualSpacing/>
        <w:jc w:val="center"/>
      </w:pPr>
      <w:r>
        <w:lastRenderedPageBreak/>
        <w:t>References</w:t>
      </w:r>
    </w:p>
    <w:p w:rsidR="007B017A" w:rsidRPr="00001EA5" w:rsidRDefault="007B017A" w:rsidP="00FB1B3C">
      <w:pPr>
        <w:ind w:left="720" w:hanging="720"/>
        <w:contextualSpacing/>
        <w:rPr>
          <w:rFonts w:eastAsia="Times New Roman"/>
        </w:rPr>
      </w:pPr>
      <w:proofErr w:type="spellStart"/>
      <w:r w:rsidRPr="00001EA5">
        <w:rPr>
          <w:rFonts w:eastAsia="Times New Roman"/>
        </w:rPr>
        <w:t>Alnababtah</w:t>
      </w:r>
      <w:proofErr w:type="spellEnd"/>
      <w:r w:rsidRPr="00001EA5">
        <w:rPr>
          <w:rFonts w:eastAsia="Times New Roman"/>
        </w:rPr>
        <w:t xml:space="preserve">, K. M., Davies, P., Jackson, C. A., Ashford, R. L., &amp; </w:t>
      </w:r>
      <w:proofErr w:type="spellStart"/>
      <w:r w:rsidRPr="00001EA5">
        <w:rPr>
          <w:rFonts w:eastAsia="Times New Roman"/>
        </w:rPr>
        <w:t>Filby</w:t>
      </w:r>
      <w:proofErr w:type="spellEnd"/>
      <w:r w:rsidRPr="00001EA5">
        <w:rPr>
          <w:rFonts w:eastAsia="Times New Roman"/>
        </w:rPr>
        <w:t xml:space="preserve">, M. (2011). Burn injuries among children from a region-wide </w:t>
      </w:r>
      <w:proofErr w:type="spellStart"/>
      <w:r w:rsidRPr="00001EA5">
        <w:rPr>
          <w:rFonts w:eastAsia="Times New Roman"/>
        </w:rPr>
        <w:t>paediatric</w:t>
      </w:r>
      <w:proofErr w:type="spellEnd"/>
      <w:r w:rsidRPr="00001EA5">
        <w:rPr>
          <w:rFonts w:eastAsia="Times New Roman"/>
        </w:rPr>
        <w:t xml:space="preserve"> burns unit. </w:t>
      </w:r>
      <w:r w:rsidRPr="00001EA5">
        <w:rPr>
          <w:rFonts w:eastAsia="Times New Roman"/>
          <w:i/>
          <w:iCs/>
        </w:rPr>
        <w:t>British journal of nursing</w:t>
      </w:r>
      <w:r w:rsidRPr="00001EA5">
        <w:rPr>
          <w:rFonts w:eastAsia="Times New Roman"/>
        </w:rPr>
        <w:t xml:space="preserve">, </w:t>
      </w:r>
      <w:r w:rsidRPr="00001EA5">
        <w:rPr>
          <w:rFonts w:eastAsia="Times New Roman"/>
          <w:i/>
          <w:iCs/>
        </w:rPr>
        <w:t>20</w:t>
      </w:r>
      <w:r w:rsidRPr="00001EA5">
        <w:rPr>
          <w:rFonts w:eastAsia="Times New Roman"/>
        </w:rPr>
        <w:t>(3), 156-162.</w:t>
      </w:r>
    </w:p>
    <w:p w:rsidR="007B017A" w:rsidRPr="00D75A06" w:rsidRDefault="007B017A" w:rsidP="00FB1B3C">
      <w:pPr>
        <w:ind w:left="720" w:hanging="720"/>
        <w:contextualSpacing/>
        <w:rPr>
          <w:rFonts w:eastAsia="Times New Roman"/>
        </w:rPr>
      </w:pPr>
      <w:proofErr w:type="spellStart"/>
      <w:r w:rsidRPr="00D75A06">
        <w:rPr>
          <w:rFonts w:eastAsia="Times New Roman"/>
        </w:rPr>
        <w:t>Balseven-Odabasi</w:t>
      </w:r>
      <w:proofErr w:type="spellEnd"/>
      <w:r w:rsidRPr="00D75A06">
        <w:rPr>
          <w:rFonts w:eastAsia="Times New Roman"/>
        </w:rPr>
        <w:t xml:space="preserve">, A., </w:t>
      </w:r>
      <w:proofErr w:type="spellStart"/>
      <w:r w:rsidRPr="00D75A06">
        <w:rPr>
          <w:rFonts w:eastAsia="Times New Roman"/>
        </w:rPr>
        <w:t>Tümer</w:t>
      </w:r>
      <w:proofErr w:type="spellEnd"/>
      <w:r w:rsidRPr="00D75A06">
        <w:rPr>
          <w:rFonts w:eastAsia="Times New Roman"/>
        </w:rPr>
        <w:t xml:space="preserve">, A. R., </w:t>
      </w:r>
      <w:proofErr w:type="spellStart"/>
      <w:r w:rsidRPr="00D75A06">
        <w:rPr>
          <w:rFonts w:eastAsia="Times New Roman"/>
        </w:rPr>
        <w:t>Keten</w:t>
      </w:r>
      <w:proofErr w:type="spellEnd"/>
      <w:r w:rsidRPr="00D75A06">
        <w:rPr>
          <w:rFonts w:eastAsia="Times New Roman"/>
        </w:rPr>
        <w:t xml:space="preserve">, A., &amp; </w:t>
      </w:r>
      <w:proofErr w:type="spellStart"/>
      <w:r w:rsidRPr="00D75A06">
        <w:rPr>
          <w:rFonts w:eastAsia="Times New Roman"/>
        </w:rPr>
        <w:t>Yorganci</w:t>
      </w:r>
      <w:proofErr w:type="spellEnd"/>
      <w:r w:rsidRPr="00D75A06">
        <w:rPr>
          <w:rFonts w:eastAsia="Times New Roman"/>
        </w:rPr>
        <w:t xml:space="preserve">, K. (2009). Burn injuries among children aged up to seven years. </w:t>
      </w:r>
      <w:r w:rsidRPr="00D75A06">
        <w:rPr>
          <w:rFonts w:eastAsia="Times New Roman"/>
          <w:i/>
          <w:iCs/>
        </w:rPr>
        <w:t>The Turkish journal of pediatrics</w:t>
      </w:r>
      <w:r w:rsidRPr="00D75A06">
        <w:rPr>
          <w:rFonts w:eastAsia="Times New Roman"/>
        </w:rPr>
        <w:t xml:space="preserve">, </w:t>
      </w:r>
      <w:r w:rsidRPr="00D75A06">
        <w:rPr>
          <w:rFonts w:eastAsia="Times New Roman"/>
          <w:i/>
          <w:iCs/>
        </w:rPr>
        <w:t>51</w:t>
      </w:r>
      <w:r w:rsidRPr="00D75A06">
        <w:rPr>
          <w:rFonts w:eastAsia="Times New Roman"/>
        </w:rPr>
        <w:t>(4), 328.</w:t>
      </w:r>
    </w:p>
    <w:p w:rsidR="007B017A" w:rsidRPr="00D71589" w:rsidRDefault="007B017A" w:rsidP="00FB1B3C">
      <w:pPr>
        <w:ind w:left="720" w:hanging="720"/>
        <w:contextualSpacing/>
        <w:rPr>
          <w:rFonts w:eastAsia="Times New Roman"/>
        </w:rPr>
      </w:pPr>
      <w:proofErr w:type="spellStart"/>
      <w:r w:rsidRPr="00D71589">
        <w:rPr>
          <w:rFonts w:eastAsia="Times New Roman"/>
        </w:rPr>
        <w:t>Brusselaers</w:t>
      </w:r>
      <w:proofErr w:type="spellEnd"/>
      <w:r w:rsidRPr="00D71589">
        <w:rPr>
          <w:rFonts w:eastAsia="Times New Roman"/>
        </w:rPr>
        <w:t xml:space="preserve">, N., </w:t>
      </w:r>
      <w:proofErr w:type="spellStart"/>
      <w:r w:rsidRPr="00D71589">
        <w:rPr>
          <w:rFonts w:eastAsia="Times New Roman"/>
        </w:rPr>
        <w:t>Monstrey</w:t>
      </w:r>
      <w:proofErr w:type="spellEnd"/>
      <w:r w:rsidRPr="00D71589">
        <w:rPr>
          <w:rFonts w:eastAsia="Times New Roman"/>
        </w:rPr>
        <w:t xml:space="preserve">, S., </w:t>
      </w:r>
      <w:proofErr w:type="spellStart"/>
      <w:r w:rsidRPr="00D71589">
        <w:rPr>
          <w:rFonts w:eastAsia="Times New Roman"/>
        </w:rPr>
        <w:t>Vogelaers</w:t>
      </w:r>
      <w:proofErr w:type="spellEnd"/>
      <w:r w:rsidRPr="00D71589">
        <w:rPr>
          <w:rFonts w:eastAsia="Times New Roman"/>
        </w:rPr>
        <w:t xml:space="preserve">, D., </w:t>
      </w:r>
      <w:proofErr w:type="spellStart"/>
      <w:r w:rsidRPr="00D71589">
        <w:rPr>
          <w:rFonts w:eastAsia="Times New Roman"/>
        </w:rPr>
        <w:t>Hoste</w:t>
      </w:r>
      <w:proofErr w:type="spellEnd"/>
      <w:r w:rsidRPr="00D71589">
        <w:rPr>
          <w:rFonts w:eastAsia="Times New Roman"/>
        </w:rPr>
        <w:t xml:space="preserve">, E., &amp; Blot, S. (2010). Severe burn injury in Europe: a systematic review of the incidence, etiology, morbidity, and mortality. </w:t>
      </w:r>
      <w:r w:rsidRPr="00D71589">
        <w:rPr>
          <w:rFonts w:eastAsia="Times New Roman"/>
          <w:i/>
          <w:iCs/>
        </w:rPr>
        <w:t>Critical care</w:t>
      </w:r>
      <w:r w:rsidRPr="00D71589">
        <w:rPr>
          <w:rFonts w:eastAsia="Times New Roman"/>
        </w:rPr>
        <w:t xml:space="preserve">, </w:t>
      </w:r>
      <w:r w:rsidRPr="00D71589">
        <w:rPr>
          <w:rFonts w:eastAsia="Times New Roman"/>
          <w:i/>
          <w:iCs/>
        </w:rPr>
        <w:t>14</w:t>
      </w:r>
      <w:r w:rsidRPr="00D71589">
        <w:rPr>
          <w:rFonts w:eastAsia="Times New Roman"/>
        </w:rPr>
        <w:t>(5), R188.</w:t>
      </w:r>
    </w:p>
    <w:p w:rsidR="007B017A" w:rsidRPr="00277E29" w:rsidRDefault="007B017A" w:rsidP="00FB1B3C">
      <w:pPr>
        <w:ind w:left="720" w:hanging="720"/>
        <w:contextualSpacing/>
        <w:rPr>
          <w:rFonts w:eastAsia="Times New Roman"/>
        </w:rPr>
      </w:pPr>
      <w:r w:rsidRPr="00277E29">
        <w:rPr>
          <w:rFonts w:eastAsia="Times New Roman"/>
        </w:rPr>
        <w:t xml:space="preserve">Keck, M., Herndon, D. H., </w:t>
      </w:r>
      <w:proofErr w:type="spellStart"/>
      <w:r w:rsidRPr="00277E29">
        <w:rPr>
          <w:rFonts w:eastAsia="Times New Roman"/>
        </w:rPr>
        <w:t>Kamolz</w:t>
      </w:r>
      <w:proofErr w:type="spellEnd"/>
      <w:r w:rsidRPr="00277E29">
        <w:rPr>
          <w:rFonts w:eastAsia="Times New Roman"/>
        </w:rPr>
        <w:t xml:space="preserve">, L. P., Frey, M., &amp; </w:t>
      </w:r>
      <w:proofErr w:type="spellStart"/>
      <w:r w:rsidRPr="00277E29">
        <w:rPr>
          <w:rFonts w:eastAsia="Times New Roman"/>
        </w:rPr>
        <w:t>Jeschke</w:t>
      </w:r>
      <w:proofErr w:type="spellEnd"/>
      <w:r w:rsidRPr="00277E29">
        <w:rPr>
          <w:rFonts w:eastAsia="Times New Roman"/>
        </w:rPr>
        <w:t xml:space="preserve">, M. G. (2009). Pathophysiology of burns. </w:t>
      </w:r>
      <w:r w:rsidRPr="00277E29">
        <w:rPr>
          <w:rFonts w:eastAsia="Times New Roman"/>
          <w:i/>
          <w:iCs/>
        </w:rPr>
        <w:t xml:space="preserve">Wiener </w:t>
      </w:r>
      <w:proofErr w:type="spellStart"/>
      <w:r w:rsidRPr="00277E29">
        <w:rPr>
          <w:rFonts w:eastAsia="Times New Roman"/>
          <w:i/>
          <w:iCs/>
        </w:rPr>
        <w:t>medizinische</w:t>
      </w:r>
      <w:proofErr w:type="spellEnd"/>
      <w:r w:rsidRPr="00277E29">
        <w:rPr>
          <w:rFonts w:eastAsia="Times New Roman"/>
          <w:i/>
          <w:iCs/>
        </w:rPr>
        <w:t xml:space="preserve"> </w:t>
      </w:r>
      <w:proofErr w:type="spellStart"/>
      <w:r w:rsidRPr="00277E29">
        <w:rPr>
          <w:rFonts w:eastAsia="Times New Roman"/>
          <w:i/>
          <w:iCs/>
        </w:rPr>
        <w:t>Wochenschrift</w:t>
      </w:r>
      <w:proofErr w:type="spellEnd"/>
      <w:r w:rsidRPr="00277E29">
        <w:rPr>
          <w:rFonts w:eastAsia="Times New Roman"/>
        </w:rPr>
        <w:t xml:space="preserve">, </w:t>
      </w:r>
      <w:r w:rsidRPr="00277E29">
        <w:rPr>
          <w:rFonts w:eastAsia="Times New Roman"/>
          <w:i/>
          <w:iCs/>
        </w:rPr>
        <w:t>159</w:t>
      </w:r>
      <w:r w:rsidRPr="00277E29">
        <w:rPr>
          <w:rFonts w:eastAsia="Times New Roman"/>
        </w:rPr>
        <w:t>(13-14), 327-336.</w:t>
      </w:r>
    </w:p>
    <w:p w:rsidR="007B017A" w:rsidRPr="007159CB" w:rsidRDefault="007B017A" w:rsidP="00FB1B3C">
      <w:pPr>
        <w:ind w:left="720" w:hanging="720"/>
        <w:contextualSpacing/>
        <w:rPr>
          <w:rFonts w:eastAsia="Times New Roman"/>
        </w:rPr>
      </w:pPr>
      <w:proofErr w:type="spellStart"/>
      <w:r w:rsidRPr="007159CB">
        <w:rPr>
          <w:rFonts w:eastAsia="Times New Roman"/>
        </w:rPr>
        <w:t>Khorasani</w:t>
      </w:r>
      <w:proofErr w:type="spellEnd"/>
      <w:r w:rsidRPr="007159CB">
        <w:rPr>
          <w:rFonts w:eastAsia="Times New Roman"/>
        </w:rPr>
        <w:t xml:space="preserve">, E. N., &amp; </w:t>
      </w:r>
      <w:proofErr w:type="spellStart"/>
      <w:r w:rsidRPr="007159CB">
        <w:rPr>
          <w:rFonts w:eastAsia="Times New Roman"/>
        </w:rPr>
        <w:t>Mansouri</w:t>
      </w:r>
      <w:proofErr w:type="spellEnd"/>
      <w:r w:rsidRPr="007159CB">
        <w:rPr>
          <w:rFonts w:eastAsia="Times New Roman"/>
        </w:rPr>
        <w:t xml:space="preserve">, F. (2010). Effect of early enteral nutrition on morbidity and mortality in children with burns. </w:t>
      </w:r>
      <w:r w:rsidRPr="007159CB">
        <w:rPr>
          <w:rFonts w:eastAsia="Times New Roman"/>
          <w:i/>
          <w:iCs/>
        </w:rPr>
        <w:t>Burns</w:t>
      </w:r>
      <w:r w:rsidRPr="007159CB">
        <w:rPr>
          <w:rFonts w:eastAsia="Times New Roman"/>
        </w:rPr>
        <w:t xml:space="preserve">, </w:t>
      </w:r>
      <w:r w:rsidRPr="007159CB">
        <w:rPr>
          <w:rFonts w:eastAsia="Times New Roman"/>
          <w:i/>
          <w:iCs/>
        </w:rPr>
        <w:t>36</w:t>
      </w:r>
      <w:r w:rsidRPr="007159CB">
        <w:rPr>
          <w:rFonts w:eastAsia="Times New Roman"/>
        </w:rPr>
        <w:t>(7), 1067-1071.</w:t>
      </w:r>
    </w:p>
    <w:p w:rsidR="007B017A" w:rsidRPr="007B6036" w:rsidRDefault="007B017A" w:rsidP="00FB1B3C">
      <w:pPr>
        <w:ind w:left="720" w:hanging="720"/>
        <w:contextualSpacing/>
        <w:rPr>
          <w:rFonts w:eastAsia="Times New Roman"/>
        </w:rPr>
      </w:pPr>
      <w:proofErr w:type="spellStart"/>
      <w:r w:rsidRPr="007B6036">
        <w:rPr>
          <w:rFonts w:eastAsia="Times New Roman"/>
        </w:rPr>
        <w:t>Kolarsick</w:t>
      </w:r>
      <w:proofErr w:type="spellEnd"/>
      <w:r w:rsidRPr="007B6036">
        <w:rPr>
          <w:rFonts w:eastAsia="Times New Roman"/>
        </w:rPr>
        <w:t xml:space="preserve">, P. A., </w:t>
      </w:r>
      <w:proofErr w:type="spellStart"/>
      <w:r w:rsidRPr="007B6036">
        <w:rPr>
          <w:rFonts w:eastAsia="Times New Roman"/>
        </w:rPr>
        <w:t>Kolarsick</w:t>
      </w:r>
      <w:proofErr w:type="spellEnd"/>
      <w:r w:rsidRPr="007B6036">
        <w:rPr>
          <w:rFonts w:eastAsia="Times New Roman"/>
        </w:rPr>
        <w:t xml:space="preserve">, M. A., &amp; Goodwin, C. (2011). Anatomy and physiology of the skin. </w:t>
      </w:r>
      <w:r w:rsidRPr="007B6036">
        <w:rPr>
          <w:rFonts w:eastAsia="Times New Roman"/>
          <w:i/>
          <w:iCs/>
        </w:rPr>
        <w:t>Journal of the Dermatology Nurses' Association</w:t>
      </w:r>
      <w:r w:rsidRPr="007B6036">
        <w:rPr>
          <w:rFonts w:eastAsia="Times New Roman"/>
        </w:rPr>
        <w:t xml:space="preserve">, </w:t>
      </w:r>
      <w:r w:rsidRPr="007B6036">
        <w:rPr>
          <w:rFonts w:eastAsia="Times New Roman"/>
          <w:i/>
          <w:iCs/>
        </w:rPr>
        <w:t>3</w:t>
      </w:r>
      <w:r w:rsidRPr="007B6036">
        <w:rPr>
          <w:rFonts w:eastAsia="Times New Roman"/>
        </w:rPr>
        <w:t>(4), 203-213.</w:t>
      </w:r>
    </w:p>
    <w:p w:rsidR="007B017A" w:rsidRPr="004318E7" w:rsidRDefault="007B017A" w:rsidP="001E74CA">
      <w:pPr>
        <w:ind w:left="720" w:hanging="720"/>
      </w:pPr>
      <w:r w:rsidRPr="000F2240">
        <w:rPr>
          <w:rFonts w:eastAsia="Times New Roman"/>
        </w:rPr>
        <w:t xml:space="preserve">Kraft, R., Herndon, D. N., </w:t>
      </w:r>
      <w:proofErr w:type="spellStart"/>
      <w:r w:rsidRPr="000F2240">
        <w:rPr>
          <w:rFonts w:eastAsia="Times New Roman"/>
        </w:rPr>
        <w:t>Branski</w:t>
      </w:r>
      <w:proofErr w:type="spellEnd"/>
      <w:r w:rsidRPr="000F2240">
        <w:rPr>
          <w:rFonts w:eastAsia="Times New Roman"/>
        </w:rPr>
        <w:t xml:space="preserve">, L. K., </w:t>
      </w:r>
      <w:proofErr w:type="spellStart"/>
      <w:r w:rsidRPr="000F2240">
        <w:rPr>
          <w:rFonts w:eastAsia="Times New Roman"/>
        </w:rPr>
        <w:t>Finnerty</w:t>
      </w:r>
      <w:proofErr w:type="spellEnd"/>
      <w:r w:rsidRPr="000F2240">
        <w:rPr>
          <w:rFonts w:eastAsia="Times New Roman"/>
        </w:rPr>
        <w:t xml:space="preserve">, C. C., Leonard, K. R., &amp; </w:t>
      </w:r>
      <w:proofErr w:type="spellStart"/>
      <w:r w:rsidRPr="000F2240">
        <w:rPr>
          <w:rFonts w:eastAsia="Times New Roman"/>
        </w:rPr>
        <w:t>Jeschke</w:t>
      </w:r>
      <w:proofErr w:type="spellEnd"/>
      <w:r w:rsidRPr="000F2240">
        <w:rPr>
          <w:rFonts w:eastAsia="Times New Roman"/>
        </w:rPr>
        <w:t xml:space="preserve">, M. G. (2013). Optimized fluid management improves outcomes of pediatric burn patients. </w:t>
      </w:r>
      <w:proofErr w:type="gramStart"/>
      <w:r w:rsidRPr="000F2240">
        <w:rPr>
          <w:rFonts w:eastAsia="Times New Roman"/>
          <w:i/>
          <w:iCs/>
        </w:rPr>
        <w:t>journal</w:t>
      </w:r>
      <w:proofErr w:type="gramEnd"/>
      <w:r w:rsidRPr="000F2240">
        <w:rPr>
          <w:rFonts w:eastAsia="Times New Roman"/>
          <w:i/>
          <w:iCs/>
        </w:rPr>
        <w:t xml:space="preserve"> of surgical research</w:t>
      </w:r>
      <w:r w:rsidRPr="000F2240">
        <w:rPr>
          <w:rFonts w:eastAsia="Times New Roman"/>
        </w:rPr>
        <w:t xml:space="preserve">, </w:t>
      </w:r>
      <w:r w:rsidRPr="000F2240">
        <w:rPr>
          <w:rFonts w:eastAsia="Times New Roman"/>
          <w:i/>
          <w:iCs/>
        </w:rPr>
        <w:t>181</w:t>
      </w:r>
      <w:r w:rsidRPr="000F2240">
        <w:rPr>
          <w:rFonts w:eastAsia="Times New Roman"/>
        </w:rPr>
        <w:t>(1), 121-128.</w:t>
      </w:r>
    </w:p>
    <w:p w:rsidR="007B017A" w:rsidRPr="00FF6531" w:rsidRDefault="007B017A" w:rsidP="00FB1B3C">
      <w:pPr>
        <w:ind w:left="720" w:hanging="720"/>
        <w:contextualSpacing/>
        <w:rPr>
          <w:rFonts w:eastAsia="Times New Roman"/>
        </w:rPr>
      </w:pPr>
      <w:r w:rsidRPr="00FF6531">
        <w:rPr>
          <w:rFonts w:eastAsia="Times New Roman"/>
        </w:rPr>
        <w:t xml:space="preserve">Markell, K. W., </w:t>
      </w:r>
      <w:proofErr w:type="spellStart"/>
      <w:r w:rsidRPr="00FF6531">
        <w:rPr>
          <w:rFonts w:eastAsia="Times New Roman"/>
        </w:rPr>
        <w:t>Renz</w:t>
      </w:r>
      <w:proofErr w:type="spellEnd"/>
      <w:r w:rsidRPr="00FF6531">
        <w:rPr>
          <w:rFonts w:eastAsia="Times New Roman"/>
        </w:rPr>
        <w:t xml:space="preserve">, E. M., White, C. E., Albrecht, M. E., </w:t>
      </w:r>
      <w:proofErr w:type="spellStart"/>
      <w:r w:rsidRPr="00FF6531">
        <w:rPr>
          <w:rFonts w:eastAsia="Times New Roman"/>
        </w:rPr>
        <w:t>Blackbourne</w:t>
      </w:r>
      <w:proofErr w:type="spellEnd"/>
      <w:r w:rsidRPr="00FF6531">
        <w:rPr>
          <w:rFonts w:eastAsia="Times New Roman"/>
        </w:rPr>
        <w:t xml:space="preserve">, L. H., Park, M. S., ... &amp; Cohn, S. M. (2009). Abdominal complications after severe burns. </w:t>
      </w:r>
      <w:r w:rsidRPr="00FF6531">
        <w:rPr>
          <w:rFonts w:eastAsia="Times New Roman"/>
          <w:i/>
          <w:iCs/>
        </w:rPr>
        <w:t>Journal of the American College of Surgeons</w:t>
      </w:r>
      <w:r w:rsidRPr="00FF6531">
        <w:rPr>
          <w:rFonts w:eastAsia="Times New Roman"/>
        </w:rPr>
        <w:t xml:space="preserve">, </w:t>
      </w:r>
      <w:r w:rsidRPr="00FF6531">
        <w:rPr>
          <w:rFonts w:eastAsia="Times New Roman"/>
          <w:i/>
          <w:iCs/>
        </w:rPr>
        <w:t>208</w:t>
      </w:r>
      <w:r w:rsidRPr="00FF6531">
        <w:rPr>
          <w:rFonts w:eastAsia="Times New Roman"/>
        </w:rPr>
        <w:t>(5), 940-947.</w:t>
      </w:r>
    </w:p>
    <w:p w:rsidR="007B017A" w:rsidRPr="00277E29" w:rsidRDefault="007B017A" w:rsidP="00FB1B3C">
      <w:pPr>
        <w:ind w:left="720" w:hanging="720"/>
        <w:contextualSpacing/>
        <w:rPr>
          <w:rFonts w:eastAsia="Times New Roman"/>
        </w:rPr>
      </w:pPr>
      <w:proofErr w:type="spellStart"/>
      <w:r w:rsidRPr="00277E29">
        <w:rPr>
          <w:rFonts w:eastAsia="Times New Roman"/>
        </w:rPr>
        <w:t>Monstrey</w:t>
      </w:r>
      <w:proofErr w:type="spellEnd"/>
      <w:r w:rsidRPr="00277E29">
        <w:rPr>
          <w:rFonts w:eastAsia="Times New Roman"/>
        </w:rPr>
        <w:t xml:space="preserve">, S., </w:t>
      </w:r>
      <w:proofErr w:type="spellStart"/>
      <w:r w:rsidRPr="00277E29">
        <w:rPr>
          <w:rFonts w:eastAsia="Times New Roman"/>
        </w:rPr>
        <w:t>Hoeksema</w:t>
      </w:r>
      <w:proofErr w:type="spellEnd"/>
      <w:r w:rsidRPr="00277E29">
        <w:rPr>
          <w:rFonts w:eastAsia="Times New Roman"/>
        </w:rPr>
        <w:t xml:space="preserve">, H., </w:t>
      </w:r>
      <w:proofErr w:type="spellStart"/>
      <w:r w:rsidRPr="00277E29">
        <w:rPr>
          <w:rFonts w:eastAsia="Times New Roman"/>
        </w:rPr>
        <w:t>Verbelen</w:t>
      </w:r>
      <w:proofErr w:type="spellEnd"/>
      <w:r w:rsidRPr="00277E29">
        <w:rPr>
          <w:rFonts w:eastAsia="Times New Roman"/>
        </w:rPr>
        <w:t xml:space="preserve">, J., </w:t>
      </w:r>
      <w:proofErr w:type="spellStart"/>
      <w:r w:rsidRPr="00277E29">
        <w:rPr>
          <w:rFonts w:eastAsia="Times New Roman"/>
        </w:rPr>
        <w:t>Pirayesh</w:t>
      </w:r>
      <w:proofErr w:type="spellEnd"/>
      <w:r w:rsidRPr="00277E29">
        <w:rPr>
          <w:rFonts w:eastAsia="Times New Roman"/>
        </w:rPr>
        <w:t xml:space="preserve">, A., &amp; </w:t>
      </w:r>
      <w:proofErr w:type="spellStart"/>
      <w:r w:rsidRPr="00277E29">
        <w:rPr>
          <w:rFonts w:eastAsia="Times New Roman"/>
        </w:rPr>
        <w:t>Blondeel</w:t>
      </w:r>
      <w:proofErr w:type="spellEnd"/>
      <w:r w:rsidRPr="00277E29">
        <w:rPr>
          <w:rFonts w:eastAsia="Times New Roman"/>
        </w:rPr>
        <w:t xml:space="preserve">, P. (2008). Assessment of burn depth and burn wound healing potential. </w:t>
      </w:r>
      <w:proofErr w:type="gramStart"/>
      <w:r w:rsidRPr="00277E29">
        <w:rPr>
          <w:rFonts w:eastAsia="Times New Roman"/>
          <w:i/>
          <w:iCs/>
        </w:rPr>
        <w:t>burns</w:t>
      </w:r>
      <w:proofErr w:type="gramEnd"/>
      <w:r w:rsidRPr="00277E29">
        <w:rPr>
          <w:rFonts w:eastAsia="Times New Roman"/>
        </w:rPr>
        <w:t xml:space="preserve">, </w:t>
      </w:r>
      <w:r w:rsidRPr="00277E29">
        <w:rPr>
          <w:rFonts w:eastAsia="Times New Roman"/>
          <w:i/>
          <w:iCs/>
        </w:rPr>
        <w:t>34</w:t>
      </w:r>
      <w:r w:rsidRPr="00277E29">
        <w:rPr>
          <w:rFonts w:eastAsia="Times New Roman"/>
        </w:rPr>
        <w:t>(6), 761-769.</w:t>
      </w:r>
    </w:p>
    <w:p w:rsidR="007B017A" w:rsidRPr="00277E29" w:rsidRDefault="007B017A" w:rsidP="00FB1B3C">
      <w:pPr>
        <w:ind w:left="720" w:hanging="720"/>
        <w:contextualSpacing/>
        <w:rPr>
          <w:rFonts w:eastAsia="Times New Roman"/>
        </w:rPr>
      </w:pPr>
      <w:proofErr w:type="spellStart"/>
      <w:r w:rsidRPr="00277E29">
        <w:rPr>
          <w:rFonts w:eastAsia="Times New Roman"/>
        </w:rPr>
        <w:lastRenderedPageBreak/>
        <w:t>Palmieri</w:t>
      </w:r>
      <w:proofErr w:type="spellEnd"/>
      <w:r w:rsidRPr="00277E29">
        <w:rPr>
          <w:rFonts w:eastAsia="Times New Roman"/>
        </w:rPr>
        <w:t xml:space="preserve">, T., </w:t>
      </w:r>
      <w:proofErr w:type="spellStart"/>
      <w:r w:rsidRPr="00277E29">
        <w:rPr>
          <w:rFonts w:eastAsia="Times New Roman"/>
        </w:rPr>
        <w:t>Lavrentieva</w:t>
      </w:r>
      <w:proofErr w:type="spellEnd"/>
      <w:r w:rsidRPr="00277E29">
        <w:rPr>
          <w:rFonts w:eastAsia="Times New Roman"/>
        </w:rPr>
        <w:t xml:space="preserve">, A., &amp; </w:t>
      </w:r>
      <w:proofErr w:type="spellStart"/>
      <w:r w:rsidRPr="00277E29">
        <w:rPr>
          <w:rFonts w:eastAsia="Times New Roman"/>
        </w:rPr>
        <w:t>Greenhalgh</w:t>
      </w:r>
      <w:proofErr w:type="spellEnd"/>
      <w:r w:rsidRPr="00277E29">
        <w:rPr>
          <w:rFonts w:eastAsia="Times New Roman"/>
        </w:rPr>
        <w:t xml:space="preserve">, D. G. (2010). Acute kidney injury in critically ill burn patients. Risk factors, progression and impact on mortality. </w:t>
      </w:r>
      <w:r w:rsidRPr="00277E29">
        <w:rPr>
          <w:rFonts w:eastAsia="Times New Roman"/>
          <w:i/>
          <w:iCs/>
        </w:rPr>
        <w:t>Burns</w:t>
      </w:r>
      <w:r w:rsidRPr="00277E29">
        <w:rPr>
          <w:rFonts w:eastAsia="Times New Roman"/>
        </w:rPr>
        <w:t xml:space="preserve">, </w:t>
      </w:r>
      <w:r w:rsidRPr="00277E29">
        <w:rPr>
          <w:rFonts w:eastAsia="Times New Roman"/>
          <w:i/>
          <w:iCs/>
        </w:rPr>
        <w:t>36</w:t>
      </w:r>
      <w:r w:rsidRPr="00277E29">
        <w:rPr>
          <w:rFonts w:eastAsia="Times New Roman"/>
        </w:rPr>
        <w:t>(2), 205-211.</w:t>
      </w:r>
    </w:p>
    <w:p w:rsidR="007B017A" w:rsidRPr="00D75A06" w:rsidRDefault="007B017A" w:rsidP="00FB1B3C">
      <w:pPr>
        <w:ind w:left="720" w:hanging="720"/>
        <w:contextualSpacing/>
        <w:rPr>
          <w:rFonts w:eastAsia="Times New Roman"/>
        </w:rPr>
      </w:pPr>
      <w:r w:rsidRPr="00D75A06">
        <w:rPr>
          <w:rFonts w:eastAsia="Times New Roman"/>
        </w:rPr>
        <w:t xml:space="preserve">Park, J. O., Do Shin, S., Kim, J., Song, K. J., &amp; Peck, M. D. (2009). Association between socioeconomic status and burn injury severity. </w:t>
      </w:r>
      <w:r w:rsidRPr="00D75A06">
        <w:rPr>
          <w:rFonts w:eastAsia="Times New Roman"/>
          <w:i/>
          <w:iCs/>
        </w:rPr>
        <w:t>Burns</w:t>
      </w:r>
      <w:r w:rsidRPr="00D75A06">
        <w:rPr>
          <w:rFonts w:eastAsia="Times New Roman"/>
        </w:rPr>
        <w:t xml:space="preserve">, </w:t>
      </w:r>
      <w:r w:rsidRPr="00D75A06">
        <w:rPr>
          <w:rFonts w:eastAsia="Times New Roman"/>
          <w:i/>
          <w:iCs/>
        </w:rPr>
        <w:t>35</w:t>
      </w:r>
      <w:r w:rsidRPr="00D75A06">
        <w:rPr>
          <w:rFonts w:eastAsia="Times New Roman"/>
        </w:rPr>
        <w:t>(4), 482-490.</w:t>
      </w:r>
    </w:p>
    <w:p w:rsidR="007B017A" w:rsidRPr="006529D7" w:rsidRDefault="007B017A" w:rsidP="00FB1B3C">
      <w:pPr>
        <w:ind w:left="720" w:hanging="720"/>
        <w:contextualSpacing/>
        <w:rPr>
          <w:rFonts w:eastAsia="Times New Roman"/>
        </w:rPr>
      </w:pPr>
      <w:proofErr w:type="spellStart"/>
      <w:r w:rsidRPr="006529D7">
        <w:rPr>
          <w:rFonts w:eastAsia="Times New Roman"/>
        </w:rPr>
        <w:t>Pavoni</w:t>
      </w:r>
      <w:proofErr w:type="spellEnd"/>
      <w:r w:rsidRPr="006529D7">
        <w:rPr>
          <w:rFonts w:eastAsia="Times New Roman"/>
        </w:rPr>
        <w:t xml:space="preserve">, V., </w:t>
      </w:r>
      <w:proofErr w:type="spellStart"/>
      <w:r w:rsidRPr="006529D7">
        <w:rPr>
          <w:rFonts w:eastAsia="Times New Roman"/>
        </w:rPr>
        <w:t>Gianesello</w:t>
      </w:r>
      <w:proofErr w:type="spellEnd"/>
      <w:r w:rsidRPr="006529D7">
        <w:rPr>
          <w:rFonts w:eastAsia="Times New Roman"/>
        </w:rPr>
        <w:t xml:space="preserve">, L., </w:t>
      </w:r>
      <w:proofErr w:type="spellStart"/>
      <w:r w:rsidRPr="006529D7">
        <w:rPr>
          <w:rFonts w:eastAsia="Times New Roman"/>
        </w:rPr>
        <w:t>Paparella</w:t>
      </w:r>
      <w:proofErr w:type="spellEnd"/>
      <w:r w:rsidRPr="006529D7">
        <w:rPr>
          <w:rFonts w:eastAsia="Times New Roman"/>
        </w:rPr>
        <w:t xml:space="preserve">, L., </w:t>
      </w:r>
      <w:proofErr w:type="spellStart"/>
      <w:r w:rsidRPr="006529D7">
        <w:rPr>
          <w:rFonts w:eastAsia="Times New Roman"/>
        </w:rPr>
        <w:t>Buoninsegni</w:t>
      </w:r>
      <w:proofErr w:type="spellEnd"/>
      <w:r w:rsidRPr="006529D7">
        <w:rPr>
          <w:rFonts w:eastAsia="Times New Roman"/>
        </w:rPr>
        <w:t xml:space="preserve">, L. T., &amp; </w:t>
      </w:r>
      <w:proofErr w:type="spellStart"/>
      <w:r w:rsidRPr="006529D7">
        <w:rPr>
          <w:rFonts w:eastAsia="Times New Roman"/>
        </w:rPr>
        <w:t>Barboni</w:t>
      </w:r>
      <w:proofErr w:type="spellEnd"/>
      <w:r w:rsidRPr="006529D7">
        <w:rPr>
          <w:rFonts w:eastAsia="Times New Roman"/>
        </w:rPr>
        <w:t xml:space="preserve">, E. (2010). Outcome predictors and quality of life of severe burn patients admitted to intensive care unit. </w:t>
      </w:r>
      <w:r w:rsidRPr="006529D7">
        <w:rPr>
          <w:rFonts w:eastAsia="Times New Roman"/>
          <w:i/>
          <w:iCs/>
        </w:rPr>
        <w:t>Scandinavian journal of trauma, resuscitation and emergency medicine</w:t>
      </w:r>
      <w:r w:rsidRPr="006529D7">
        <w:rPr>
          <w:rFonts w:eastAsia="Times New Roman"/>
        </w:rPr>
        <w:t xml:space="preserve">, </w:t>
      </w:r>
      <w:r w:rsidRPr="006529D7">
        <w:rPr>
          <w:rFonts w:eastAsia="Times New Roman"/>
          <w:i/>
          <w:iCs/>
        </w:rPr>
        <w:t>18</w:t>
      </w:r>
      <w:r w:rsidRPr="006529D7">
        <w:rPr>
          <w:rFonts w:eastAsia="Times New Roman"/>
        </w:rPr>
        <w:t>(1), 24.</w:t>
      </w:r>
    </w:p>
    <w:p w:rsidR="007B017A" w:rsidRPr="00466CD5" w:rsidRDefault="007B017A" w:rsidP="00FB1B3C">
      <w:pPr>
        <w:ind w:left="720" w:hanging="720"/>
        <w:contextualSpacing/>
        <w:rPr>
          <w:rFonts w:eastAsia="Times New Roman"/>
        </w:rPr>
      </w:pPr>
      <w:r w:rsidRPr="00466CD5">
        <w:rPr>
          <w:rFonts w:eastAsia="Times New Roman"/>
        </w:rPr>
        <w:t xml:space="preserve">Peck, M. D. (2011). Epidemiology of burns throughout the world. Part I: Distribution and risk factors. </w:t>
      </w:r>
      <w:r w:rsidRPr="00466CD5">
        <w:rPr>
          <w:rFonts w:eastAsia="Times New Roman"/>
          <w:i/>
          <w:iCs/>
        </w:rPr>
        <w:t>Burns</w:t>
      </w:r>
      <w:r w:rsidRPr="00466CD5">
        <w:rPr>
          <w:rFonts w:eastAsia="Times New Roman"/>
        </w:rPr>
        <w:t xml:space="preserve">, </w:t>
      </w:r>
      <w:r w:rsidRPr="00466CD5">
        <w:rPr>
          <w:rFonts w:eastAsia="Times New Roman"/>
          <w:i/>
          <w:iCs/>
        </w:rPr>
        <w:t>37</w:t>
      </w:r>
      <w:r w:rsidRPr="00466CD5">
        <w:rPr>
          <w:rFonts w:eastAsia="Times New Roman"/>
        </w:rPr>
        <w:t>(7), 1087-1100.</w:t>
      </w:r>
    </w:p>
    <w:p w:rsidR="007B017A" w:rsidRPr="00277E29" w:rsidRDefault="007B017A" w:rsidP="00FB1B3C">
      <w:pPr>
        <w:ind w:left="720" w:hanging="720"/>
        <w:contextualSpacing/>
        <w:rPr>
          <w:rFonts w:eastAsia="Times New Roman"/>
        </w:rPr>
      </w:pPr>
      <w:r w:rsidRPr="009247DF">
        <w:rPr>
          <w:rFonts w:eastAsia="Times New Roman"/>
        </w:rPr>
        <w:t xml:space="preserve">Rodriguez, N. A., </w:t>
      </w:r>
      <w:proofErr w:type="spellStart"/>
      <w:r w:rsidRPr="009247DF">
        <w:rPr>
          <w:rFonts w:eastAsia="Times New Roman"/>
        </w:rPr>
        <w:t>Jeschke</w:t>
      </w:r>
      <w:proofErr w:type="spellEnd"/>
      <w:r w:rsidRPr="009247DF">
        <w:rPr>
          <w:rFonts w:eastAsia="Times New Roman"/>
        </w:rPr>
        <w:t xml:space="preserve">, M. G., Williams, F. N., </w:t>
      </w:r>
      <w:proofErr w:type="spellStart"/>
      <w:r w:rsidRPr="009247DF">
        <w:rPr>
          <w:rFonts w:eastAsia="Times New Roman"/>
        </w:rPr>
        <w:t>Kamolz</w:t>
      </w:r>
      <w:proofErr w:type="spellEnd"/>
      <w:r w:rsidRPr="009247DF">
        <w:rPr>
          <w:rFonts w:eastAsia="Times New Roman"/>
        </w:rPr>
        <w:t xml:space="preserve">, L. P., &amp; Herndon, D. N. (2011). Nutrition in burns: Galveston contributions. </w:t>
      </w:r>
      <w:r w:rsidRPr="009247DF">
        <w:rPr>
          <w:rFonts w:eastAsia="Times New Roman"/>
          <w:i/>
          <w:iCs/>
        </w:rPr>
        <w:t>Journal of parenteral and enteral nutrition</w:t>
      </w:r>
      <w:r w:rsidRPr="009247DF">
        <w:rPr>
          <w:rFonts w:eastAsia="Times New Roman"/>
        </w:rPr>
        <w:t xml:space="preserve">, </w:t>
      </w:r>
      <w:r w:rsidRPr="009247DF">
        <w:rPr>
          <w:rFonts w:eastAsia="Times New Roman"/>
          <w:i/>
          <w:iCs/>
        </w:rPr>
        <w:t>35</w:t>
      </w:r>
      <w:r w:rsidRPr="009247DF">
        <w:rPr>
          <w:rFonts w:eastAsia="Times New Roman"/>
        </w:rPr>
        <w:t>(6), 704-714.</w:t>
      </w:r>
    </w:p>
    <w:p w:rsidR="007B017A" w:rsidRPr="00AB2E1C" w:rsidRDefault="007B017A" w:rsidP="00FB1B3C">
      <w:pPr>
        <w:ind w:left="720" w:hanging="720"/>
        <w:contextualSpacing/>
        <w:rPr>
          <w:rFonts w:eastAsia="Times New Roman"/>
        </w:rPr>
      </w:pPr>
      <w:r w:rsidRPr="00AB2E1C">
        <w:rPr>
          <w:rFonts w:eastAsia="Times New Roman"/>
        </w:rPr>
        <w:t xml:space="preserve">Rousseau, A. F., </w:t>
      </w:r>
      <w:proofErr w:type="spellStart"/>
      <w:r w:rsidRPr="00AB2E1C">
        <w:rPr>
          <w:rFonts w:eastAsia="Times New Roman"/>
        </w:rPr>
        <w:t>Losser</w:t>
      </w:r>
      <w:proofErr w:type="spellEnd"/>
      <w:r w:rsidRPr="00AB2E1C">
        <w:rPr>
          <w:rFonts w:eastAsia="Times New Roman"/>
        </w:rPr>
        <w:t xml:space="preserve">, M. R., </w:t>
      </w:r>
      <w:proofErr w:type="spellStart"/>
      <w:r w:rsidRPr="00AB2E1C">
        <w:rPr>
          <w:rFonts w:eastAsia="Times New Roman"/>
        </w:rPr>
        <w:t>Ichai</w:t>
      </w:r>
      <w:proofErr w:type="spellEnd"/>
      <w:r w:rsidRPr="00AB2E1C">
        <w:rPr>
          <w:rFonts w:eastAsia="Times New Roman"/>
        </w:rPr>
        <w:t xml:space="preserve">, C., &amp; Berger, M. M. (2013). ESPEN endorsed recommendations: nutritional therapy in major burns. </w:t>
      </w:r>
      <w:r w:rsidRPr="00AB2E1C">
        <w:rPr>
          <w:rFonts w:eastAsia="Times New Roman"/>
          <w:i/>
          <w:iCs/>
        </w:rPr>
        <w:t>Clinical nutrition</w:t>
      </w:r>
      <w:r w:rsidRPr="00AB2E1C">
        <w:rPr>
          <w:rFonts w:eastAsia="Times New Roman"/>
        </w:rPr>
        <w:t xml:space="preserve">, </w:t>
      </w:r>
      <w:r w:rsidRPr="00AB2E1C">
        <w:rPr>
          <w:rFonts w:eastAsia="Times New Roman"/>
          <w:i/>
          <w:iCs/>
        </w:rPr>
        <w:t>32</w:t>
      </w:r>
      <w:r w:rsidRPr="00AB2E1C">
        <w:rPr>
          <w:rFonts w:eastAsia="Times New Roman"/>
        </w:rPr>
        <w:t>(4), 497-502.</w:t>
      </w:r>
    </w:p>
    <w:p w:rsidR="007B017A" w:rsidRPr="00466CD5" w:rsidRDefault="007B017A" w:rsidP="00FB1B3C">
      <w:pPr>
        <w:ind w:left="720" w:hanging="720"/>
        <w:contextualSpacing/>
        <w:rPr>
          <w:rFonts w:eastAsia="Times New Roman"/>
        </w:rPr>
      </w:pPr>
      <w:r w:rsidRPr="00466CD5">
        <w:rPr>
          <w:rFonts w:eastAsia="Times New Roman"/>
        </w:rPr>
        <w:t xml:space="preserve">Swords, D. S., Hadley, E. D., </w:t>
      </w:r>
      <w:proofErr w:type="spellStart"/>
      <w:r w:rsidRPr="00466CD5">
        <w:rPr>
          <w:rFonts w:eastAsia="Times New Roman"/>
        </w:rPr>
        <w:t>Swett</w:t>
      </w:r>
      <w:proofErr w:type="spellEnd"/>
      <w:r w:rsidRPr="00466CD5">
        <w:rPr>
          <w:rFonts w:eastAsia="Times New Roman"/>
        </w:rPr>
        <w:t xml:space="preserve">, K. R., &amp; </w:t>
      </w:r>
      <w:proofErr w:type="spellStart"/>
      <w:r w:rsidRPr="00466CD5">
        <w:rPr>
          <w:rFonts w:eastAsia="Times New Roman"/>
        </w:rPr>
        <w:t>Pranikoff</w:t>
      </w:r>
      <w:proofErr w:type="spellEnd"/>
      <w:r w:rsidRPr="00466CD5">
        <w:rPr>
          <w:rFonts w:eastAsia="Times New Roman"/>
        </w:rPr>
        <w:t xml:space="preserve">, T. (2015). Total body surface area overestimation at referring institutions in children transferred to a burn center. </w:t>
      </w:r>
      <w:r w:rsidRPr="00466CD5">
        <w:rPr>
          <w:rFonts w:eastAsia="Times New Roman"/>
          <w:i/>
          <w:iCs/>
        </w:rPr>
        <w:t>The American Surgeon</w:t>
      </w:r>
      <w:r w:rsidRPr="00466CD5">
        <w:rPr>
          <w:rFonts w:eastAsia="Times New Roman"/>
        </w:rPr>
        <w:t xml:space="preserve">, </w:t>
      </w:r>
      <w:r w:rsidRPr="00466CD5">
        <w:rPr>
          <w:rFonts w:eastAsia="Times New Roman"/>
          <w:i/>
          <w:iCs/>
        </w:rPr>
        <w:t>81</w:t>
      </w:r>
      <w:r w:rsidRPr="00466CD5">
        <w:rPr>
          <w:rFonts w:eastAsia="Times New Roman"/>
        </w:rPr>
        <w:t>(1), 56-63.</w:t>
      </w:r>
    </w:p>
    <w:p w:rsidR="007B017A" w:rsidRDefault="007B017A" w:rsidP="00FB1B3C">
      <w:pPr>
        <w:ind w:left="720" w:hanging="720"/>
        <w:contextualSpacing/>
        <w:rPr>
          <w:rFonts w:eastAsia="Times New Roman"/>
        </w:rPr>
      </w:pPr>
      <w:proofErr w:type="spellStart"/>
      <w:r w:rsidRPr="00277E29">
        <w:rPr>
          <w:rFonts w:eastAsia="Times New Roman"/>
        </w:rPr>
        <w:t>Toon</w:t>
      </w:r>
      <w:proofErr w:type="spellEnd"/>
      <w:r w:rsidRPr="00277E29">
        <w:rPr>
          <w:rFonts w:eastAsia="Times New Roman"/>
        </w:rPr>
        <w:t xml:space="preserve">, M. H., </w:t>
      </w:r>
      <w:proofErr w:type="spellStart"/>
      <w:r w:rsidRPr="00277E29">
        <w:rPr>
          <w:rFonts w:eastAsia="Times New Roman"/>
        </w:rPr>
        <w:t>Maybauer</w:t>
      </w:r>
      <w:proofErr w:type="spellEnd"/>
      <w:r w:rsidRPr="00277E29">
        <w:rPr>
          <w:rFonts w:eastAsia="Times New Roman"/>
        </w:rPr>
        <w:t xml:space="preserve">, D. M., </w:t>
      </w:r>
      <w:proofErr w:type="spellStart"/>
      <w:r w:rsidRPr="00277E29">
        <w:rPr>
          <w:rFonts w:eastAsia="Times New Roman"/>
        </w:rPr>
        <w:t>Arceneaux</w:t>
      </w:r>
      <w:proofErr w:type="spellEnd"/>
      <w:r w:rsidRPr="00277E29">
        <w:rPr>
          <w:rFonts w:eastAsia="Times New Roman"/>
        </w:rPr>
        <w:t xml:space="preserve">, L. L., Fraser, J. F., Meyer, W., </w:t>
      </w:r>
      <w:proofErr w:type="spellStart"/>
      <w:r w:rsidRPr="00277E29">
        <w:rPr>
          <w:rFonts w:eastAsia="Times New Roman"/>
        </w:rPr>
        <w:t>Runge</w:t>
      </w:r>
      <w:proofErr w:type="spellEnd"/>
      <w:r w:rsidRPr="00277E29">
        <w:rPr>
          <w:rFonts w:eastAsia="Times New Roman"/>
        </w:rPr>
        <w:t xml:space="preserve">, A., &amp; </w:t>
      </w:r>
      <w:proofErr w:type="spellStart"/>
      <w:r w:rsidRPr="00277E29">
        <w:rPr>
          <w:rFonts w:eastAsia="Times New Roman"/>
        </w:rPr>
        <w:t>Maybauer</w:t>
      </w:r>
      <w:proofErr w:type="spellEnd"/>
      <w:r w:rsidRPr="00277E29">
        <w:rPr>
          <w:rFonts w:eastAsia="Times New Roman"/>
        </w:rPr>
        <w:t xml:space="preserve">, M. O. (2011). Children with burn injuries-assessment of trauma, neglect, violence and abuse. </w:t>
      </w:r>
      <w:r w:rsidRPr="00277E29">
        <w:rPr>
          <w:rFonts w:eastAsia="Times New Roman"/>
          <w:i/>
          <w:iCs/>
        </w:rPr>
        <w:t>Journal of injury and violence research</w:t>
      </w:r>
      <w:r w:rsidRPr="00277E29">
        <w:rPr>
          <w:rFonts w:eastAsia="Times New Roman"/>
        </w:rPr>
        <w:t xml:space="preserve">, </w:t>
      </w:r>
      <w:r w:rsidRPr="00277E29">
        <w:rPr>
          <w:rFonts w:eastAsia="Times New Roman"/>
          <w:i/>
          <w:iCs/>
        </w:rPr>
        <w:t>3</w:t>
      </w:r>
      <w:r w:rsidRPr="00277E29">
        <w:rPr>
          <w:rFonts w:eastAsia="Times New Roman"/>
        </w:rPr>
        <w:t>(2), 98.</w:t>
      </w:r>
    </w:p>
    <w:p w:rsidR="007B017A" w:rsidRPr="00146224" w:rsidRDefault="007B017A" w:rsidP="001E74CA">
      <w:pPr>
        <w:ind w:left="720" w:hanging="720"/>
        <w:rPr>
          <w:rFonts w:eastAsia="Times New Roman"/>
        </w:rPr>
      </w:pPr>
      <w:proofErr w:type="spellStart"/>
      <w:r w:rsidRPr="00146224">
        <w:rPr>
          <w:rFonts w:eastAsia="Times New Roman"/>
        </w:rPr>
        <w:t>Yuxiang</w:t>
      </w:r>
      <w:proofErr w:type="spellEnd"/>
      <w:r w:rsidRPr="00146224">
        <w:rPr>
          <w:rFonts w:eastAsia="Times New Roman"/>
        </w:rPr>
        <w:t xml:space="preserve">, L., </w:t>
      </w:r>
      <w:proofErr w:type="spellStart"/>
      <w:r w:rsidRPr="00146224">
        <w:rPr>
          <w:rFonts w:eastAsia="Times New Roman"/>
        </w:rPr>
        <w:t>Lingjun</w:t>
      </w:r>
      <w:proofErr w:type="spellEnd"/>
      <w:r w:rsidRPr="00146224">
        <w:rPr>
          <w:rFonts w:eastAsia="Times New Roman"/>
        </w:rPr>
        <w:t xml:space="preserve">, Z., Lu, T., </w:t>
      </w:r>
      <w:proofErr w:type="spellStart"/>
      <w:r w:rsidRPr="00146224">
        <w:rPr>
          <w:rFonts w:eastAsia="Times New Roman"/>
        </w:rPr>
        <w:t>Mengjie</w:t>
      </w:r>
      <w:proofErr w:type="spellEnd"/>
      <w:r w:rsidRPr="00146224">
        <w:rPr>
          <w:rFonts w:eastAsia="Times New Roman"/>
        </w:rPr>
        <w:t xml:space="preserve">, L., Xing, M., </w:t>
      </w:r>
      <w:proofErr w:type="spellStart"/>
      <w:r w:rsidRPr="00146224">
        <w:rPr>
          <w:rFonts w:eastAsia="Times New Roman"/>
        </w:rPr>
        <w:t>Fengping</w:t>
      </w:r>
      <w:proofErr w:type="spellEnd"/>
      <w:r w:rsidRPr="00146224">
        <w:rPr>
          <w:rFonts w:eastAsia="Times New Roman"/>
        </w:rPr>
        <w:t>, S</w:t>
      </w:r>
      <w:proofErr w:type="gramStart"/>
      <w:r w:rsidRPr="00146224">
        <w:rPr>
          <w:rFonts w:eastAsia="Times New Roman"/>
        </w:rPr>
        <w:t>., ...</w:t>
      </w:r>
      <w:proofErr w:type="gramEnd"/>
      <w:r w:rsidRPr="00146224">
        <w:rPr>
          <w:rFonts w:eastAsia="Times New Roman"/>
        </w:rPr>
        <w:t xml:space="preserve"> &amp; </w:t>
      </w:r>
      <w:proofErr w:type="spellStart"/>
      <w:r w:rsidRPr="00146224">
        <w:rPr>
          <w:rFonts w:eastAsia="Times New Roman"/>
        </w:rPr>
        <w:t>Jijun</w:t>
      </w:r>
      <w:proofErr w:type="spellEnd"/>
      <w:r w:rsidRPr="00146224">
        <w:rPr>
          <w:rFonts w:eastAsia="Times New Roman"/>
        </w:rPr>
        <w:t xml:space="preserve">, Z. (2012). Burn patients’ experience of pain management: a qualitative study. </w:t>
      </w:r>
      <w:r w:rsidRPr="00146224">
        <w:rPr>
          <w:rFonts w:eastAsia="Times New Roman"/>
          <w:i/>
          <w:iCs/>
        </w:rPr>
        <w:t>Burns</w:t>
      </w:r>
      <w:r w:rsidRPr="00146224">
        <w:rPr>
          <w:rFonts w:eastAsia="Times New Roman"/>
        </w:rPr>
        <w:t xml:space="preserve">, </w:t>
      </w:r>
      <w:r w:rsidRPr="00146224">
        <w:rPr>
          <w:rFonts w:eastAsia="Times New Roman"/>
          <w:i/>
          <w:iCs/>
        </w:rPr>
        <w:t>38</w:t>
      </w:r>
      <w:r w:rsidRPr="00146224">
        <w:rPr>
          <w:rFonts w:eastAsia="Times New Roman"/>
        </w:rPr>
        <w:t>(2), 180-186.</w:t>
      </w:r>
    </w:p>
    <w:sectPr w:rsidR="007B017A" w:rsidRPr="001462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72B" w:rsidRDefault="00F3072B" w:rsidP="00027A78">
      <w:pPr>
        <w:spacing w:line="240" w:lineRule="auto"/>
      </w:pPr>
      <w:r>
        <w:separator/>
      </w:r>
    </w:p>
  </w:endnote>
  <w:endnote w:type="continuationSeparator" w:id="0">
    <w:p w:rsidR="00F3072B" w:rsidRDefault="00F3072B" w:rsidP="00027A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72B" w:rsidRDefault="00F3072B" w:rsidP="00027A78">
      <w:pPr>
        <w:spacing w:line="240" w:lineRule="auto"/>
      </w:pPr>
      <w:r>
        <w:separator/>
      </w:r>
    </w:p>
  </w:footnote>
  <w:footnote w:type="continuationSeparator" w:id="0">
    <w:p w:rsidR="00F3072B" w:rsidRDefault="00F3072B" w:rsidP="00027A7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7E2" w:rsidRDefault="00E977E2">
    <w:pPr>
      <w:pStyle w:val="Header"/>
      <w:jc w:val="right"/>
    </w:pPr>
    <w:r w:rsidRPr="00120495">
      <w:t>PEDIATRIC BURNS</w:t>
    </w:r>
    <w:r>
      <w:t xml:space="preserve">                                                                                                             </w:t>
    </w:r>
    <w:sdt>
      <w:sdtPr>
        <w:id w:val="-6638532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77582">
          <w:rPr>
            <w:noProof/>
          </w:rPr>
          <w:t>11</w:t>
        </w:r>
        <w:r>
          <w:rPr>
            <w:noProof/>
          </w:rPr>
          <w:fldChar w:fldCharType="end"/>
        </w:r>
      </w:sdtContent>
    </w:sdt>
  </w:p>
  <w:p w:rsidR="00027A78" w:rsidRDefault="00027A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AFF" w:rsidRPr="00205AFF" w:rsidRDefault="00205AFF" w:rsidP="00205AFF">
    <w:pPr>
      <w:pStyle w:val="Header"/>
    </w:pPr>
    <w:r w:rsidRPr="00651C9D">
      <w:t>Running Head: PEDIATRIC BURNS</w:t>
    </w:r>
    <w:r>
      <w:t xml:space="preserve">                                                                                          </w:t>
    </w:r>
    <w:sdt>
      <w:sdtPr>
        <w:id w:val="1691399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77582">
          <w:rPr>
            <w:noProof/>
          </w:rPr>
          <w:t>1</w:t>
        </w:r>
        <w:r>
          <w:rPr>
            <w:noProof/>
          </w:rPr>
          <w:fldChar w:fldCharType="end"/>
        </w:r>
      </w:sdtContent>
    </w:sdt>
  </w:p>
  <w:p w:rsidR="00651C9D" w:rsidRPr="00651C9D" w:rsidRDefault="00651C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DC33F9"/>
    <w:multiLevelType w:val="hybridMultilevel"/>
    <w:tmpl w:val="1C0A365E"/>
    <w:lvl w:ilvl="0" w:tplc="EB8AABF2">
      <w:start w:val="1"/>
      <w:numFmt w:val="decimal"/>
      <w:lvlText w:val="%1."/>
      <w:lvlJc w:val="left"/>
      <w:pPr>
        <w:tabs>
          <w:tab w:val="num" w:pos="720"/>
        </w:tabs>
        <w:ind w:left="720" w:hanging="360"/>
      </w:pPr>
      <w:rPr>
        <w:rFonts w:hint="default"/>
      </w:rPr>
    </w:lvl>
    <w:lvl w:ilvl="1" w:tplc="02F83DD2">
      <w:start w:val="1"/>
      <w:numFmt w:val="lowerLetter"/>
      <w:lvlText w:val="%2."/>
      <w:lvlJc w:val="left"/>
      <w:pPr>
        <w:tabs>
          <w:tab w:val="num" w:pos="1440"/>
        </w:tabs>
        <w:ind w:left="1440" w:hanging="360"/>
      </w:pPr>
      <w:rPr>
        <w:rFonts w:hint="default"/>
      </w:rPr>
    </w:lvl>
    <w:lvl w:ilvl="2" w:tplc="2CC4E036">
      <w:start w:val="1"/>
      <w:numFmt w:val="lowerRoman"/>
      <w:lvlText w:val="%3."/>
      <w:lvlJc w:val="right"/>
      <w:pPr>
        <w:tabs>
          <w:tab w:val="num" w:pos="2160"/>
        </w:tabs>
        <w:ind w:left="2160" w:hanging="180"/>
      </w:pPr>
    </w:lvl>
    <w:lvl w:ilvl="3" w:tplc="0A3ACF7C" w:tentative="1">
      <w:start w:val="1"/>
      <w:numFmt w:val="decimal"/>
      <w:lvlText w:val="%4."/>
      <w:lvlJc w:val="left"/>
      <w:pPr>
        <w:tabs>
          <w:tab w:val="num" w:pos="2880"/>
        </w:tabs>
        <w:ind w:left="2880" w:hanging="360"/>
      </w:pPr>
    </w:lvl>
    <w:lvl w:ilvl="4" w:tplc="6472E102" w:tentative="1">
      <w:start w:val="1"/>
      <w:numFmt w:val="lowerLetter"/>
      <w:lvlText w:val="%5."/>
      <w:lvlJc w:val="left"/>
      <w:pPr>
        <w:tabs>
          <w:tab w:val="num" w:pos="3600"/>
        </w:tabs>
        <w:ind w:left="3600" w:hanging="360"/>
      </w:pPr>
    </w:lvl>
    <w:lvl w:ilvl="5" w:tplc="92D2035A" w:tentative="1">
      <w:start w:val="1"/>
      <w:numFmt w:val="lowerRoman"/>
      <w:lvlText w:val="%6."/>
      <w:lvlJc w:val="right"/>
      <w:pPr>
        <w:tabs>
          <w:tab w:val="num" w:pos="4320"/>
        </w:tabs>
        <w:ind w:left="4320" w:hanging="180"/>
      </w:pPr>
    </w:lvl>
    <w:lvl w:ilvl="6" w:tplc="F43C5CDA" w:tentative="1">
      <w:start w:val="1"/>
      <w:numFmt w:val="decimal"/>
      <w:lvlText w:val="%7."/>
      <w:lvlJc w:val="left"/>
      <w:pPr>
        <w:tabs>
          <w:tab w:val="num" w:pos="5040"/>
        </w:tabs>
        <w:ind w:left="5040" w:hanging="360"/>
      </w:pPr>
    </w:lvl>
    <w:lvl w:ilvl="7" w:tplc="7E6C939C" w:tentative="1">
      <w:start w:val="1"/>
      <w:numFmt w:val="lowerLetter"/>
      <w:lvlText w:val="%8."/>
      <w:lvlJc w:val="left"/>
      <w:pPr>
        <w:tabs>
          <w:tab w:val="num" w:pos="5760"/>
        </w:tabs>
        <w:ind w:left="5760" w:hanging="360"/>
      </w:pPr>
    </w:lvl>
    <w:lvl w:ilvl="8" w:tplc="5A7CE050"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425"/>
    <w:rsid w:val="00017A98"/>
    <w:rsid w:val="00023D9D"/>
    <w:rsid w:val="0002439A"/>
    <w:rsid w:val="00026EDB"/>
    <w:rsid w:val="00027A78"/>
    <w:rsid w:val="0003568B"/>
    <w:rsid w:val="00041971"/>
    <w:rsid w:val="00052E67"/>
    <w:rsid w:val="00060125"/>
    <w:rsid w:val="0006334E"/>
    <w:rsid w:val="000705ED"/>
    <w:rsid w:val="00073560"/>
    <w:rsid w:val="00080EB1"/>
    <w:rsid w:val="000A1E27"/>
    <w:rsid w:val="000A689C"/>
    <w:rsid w:val="000A6CA5"/>
    <w:rsid w:val="000B4CC4"/>
    <w:rsid w:val="000D4EDF"/>
    <w:rsid w:val="000D7944"/>
    <w:rsid w:val="000E2576"/>
    <w:rsid w:val="000E73B8"/>
    <w:rsid w:val="00105345"/>
    <w:rsid w:val="00120495"/>
    <w:rsid w:val="00135403"/>
    <w:rsid w:val="001464A7"/>
    <w:rsid w:val="00151072"/>
    <w:rsid w:val="00162F49"/>
    <w:rsid w:val="001738CB"/>
    <w:rsid w:val="00187A00"/>
    <w:rsid w:val="00190BA6"/>
    <w:rsid w:val="001A2DBB"/>
    <w:rsid w:val="001A4674"/>
    <w:rsid w:val="001A5A5B"/>
    <w:rsid w:val="001B65BD"/>
    <w:rsid w:val="001C43FE"/>
    <w:rsid w:val="001D056A"/>
    <w:rsid w:val="001D2665"/>
    <w:rsid w:val="001D36F0"/>
    <w:rsid w:val="001E3677"/>
    <w:rsid w:val="001E3C67"/>
    <w:rsid w:val="001E74CA"/>
    <w:rsid w:val="00204CC9"/>
    <w:rsid w:val="00205AFF"/>
    <w:rsid w:val="00205DEC"/>
    <w:rsid w:val="00206DDA"/>
    <w:rsid w:val="00227349"/>
    <w:rsid w:val="00234E18"/>
    <w:rsid w:val="00244B90"/>
    <w:rsid w:val="002519F1"/>
    <w:rsid w:val="0025613B"/>
    <w:rsid w:val="002571FE"/>
    <w:rsid w:val="00263F24"/>
    <w:rsid w:val="0027135B"/>
    <w:rsid w:val="0027145E"/>
    <w:rsid w:val="002754F0"/>
    <w:rsid w:val="00280425"/>
    <w:rsid w:val="002B1058"/>
    <w:rsid w:val="002B1C75"/>
    <w:rsid w:val="002C3CA3"/>
    <w:rsid w:val="002D620C"/>
    <w:rsid w:val="002F658A"/>
    <w:rsid w:val="00347FEF"/>
    <w:rsid w:val="00350D1B"/>
    <w:rsid w:val="0036749A"/>
    <w:rsid w:val="00370967"/>
    <w:rsid w:val="00377C26"/>
    <w:rsid w:val="00385A99"/>
    <w:rsid w:val="00386E76"/>
    <w:rsid w:val="003976AF"/>
    <w:rsid w:val="003B7CBD"/>
    <w:rsid w:val="003D053B"/>
    <w:rsid w:val="003D6F62"/>
    <w:rsid w:val="003E19F9"/>
    <w:rsid w:val="003E39C6"/>
    <w:rsid w:val="0041480A"/>
    <w:rsid w:val="00424DA1"/>
    <w:rsid w:val="004318E7"/>
    <w:rsid w:val="00452273"/>
    <w:rsid w:val="00453043"/>
    <w:rsid w:val="0046014F"/>
    <w:rsid w:val="0046682A"/>
    <w:rsid w:val="004751B6"/>
    <w:rsid w:val="00490136"/>
    <w:rsid w:val="00490340"/>
    <w:rsid w:val="004A2202"/>
    <w:rsid w:val="004A73D1"/>
    <w:rsid w:val="004A74BE"/>
    <w:rsid w:val="004D71FA"/>
    <w:rsid w:val="004F07D7"/>
    <w:rsid w:val="004F189A"/>
    <w:rsid w:val="004F254E"/>
    <w:rsid w:val="004F7BB2"/>
    <w:rsid w:val="00510628"/>
    <w:rsid w:val="00516C42"/>
    <w:rsid w:val="005377DA"/>
    <w:rsid w:val="00542B76"/>
    <w:rsid w:val="00577582"/>
    <w:rsid w:val="00582FF2"/>
    <w:rsid w:val="00583421"/>
    <w:rsid w:val="005914BE"/>
    <w:rsid w:val="00593BF2"/>
    <w:rsid w:val="0059641D"/>
    <w:rsid w:val="005A0F22"/>
    <w:rsid w:val="005A1EAF"/>
    <w:rsid w:val="005A38ED"/>
    <w:rsid w:val="005D2B32"/>
    <w:rsid w:val="005D4BF8"/>
    <w:rsid w:val="005D7590"/>
    <w:rsid w:val="005E3687"/>
    <w:rsid w:val="005E7EF1"/>
    <w:rsid w:val="005F100F"/>
    <w:rsid w:val="005F78C1"/>
    <w:rsid w:val="00605380"/>
    <w:rsid w:val="006102B1"/>
    <w:rsid w:val="0061076B"/>
    <w:rsid w:val="006112CA"/>
    <w:rsid w:val="0064769E"/>
    <w:rsid w:val="0065104E"/>
    <w:rsid w:val="00651C9D"/>
    <w:rsid w:val="00675C04"/>
    <w:rsid w:val="00677407"/>
    <w:rsid w:val="00677A4A"/>
    <w:rsid w:val="00693273"/>
    <w:rsid w:val="006A3C5D"/>
    <w:rsid w:val="006A50B9"/>
    <w:rsid w:val="006B510A"/>
    <w:rsid w:val="006C11EF"/>
    <w:rsid w:val="006C1297"/>
    <w:rsid w:val="006D1B77"/>
    <w:rsid w:val="006F62F2"/>
    <w:rsid w:val="0070295F"/>
    <w:rsid w:val="00705A7E"/>
    <w:rsid w:val="007155F3"/>
    <w:rsid w:val="0072098A"/>
    <w:rsid w:val="007211E9"/>
    <w:rsid w:val="00727054"/>
    <w:rsid w:val="00727552"/>
    <w:rsid w:val="007451F5"/>
    <w:rsid w:val="007501BB"/>
    <w:rsid w:val="00762E7E"/>
    <w:rsid w:val="00780E9C"/>
    <w:rsid w:val="00781FEC"/>
    <w:rsid w:val="007941C7"/>
    <w:rsid w:val="00794E5E"/>
    <w:rsid w:val="007A5AAE"/>
    <w:rsid w:val="007B017A"/>
    <w:rsid w:val="007B44B9"/>
    <w:rsid w:val="007C06BD"/>
    <w:rsid w:val="007D105D"/>
    <w:rsid w:val="007E2DAB"/>
    <w:rsid w:val="0080023C"/>
    <w:rsid w:val="0080079E"/>
    <w:rsid w:val="00803130"/>
    <w:rsid w:val="00806125"/>
    <w:rsid w:val="008155F3"/>
    <w:rsid w:val="008235D9"/>
    <w:rsid w:val="00823BF5"/>
    <w:rsid w:val="00830F9A"/>
    <w:rsid w:val="00832F54"/>
    <w:rsid w:val="0085192E"/>
    <w:rsid w:val="00864061"/>
    <w:rsid w:val="00884EAE"/>
    <w:rsid w:val="008A48D8"/>
    <w:rsid w:val="008B1188"/>
    <w:rsid w:val="008D1697"/>
    <w:rsid w:val="008D4A22"/>
    <w:rsid w:val="008D6A51"/>
    <w:rsid w:val="008E0671"/>
    <w:rsid w:val="008F6335"/>
    <w:rsid w:val="00914583"/>
    <w:rsid w:val="0091715D"/>
    <w:rsid w:val="00917507"/>
    <w:rsid w:val="00917A21"/>
    <w:rsid w:val="00922C0A"/>
    <w:rsid w:val="00923F6C"/>
    <w:rsid w:val="00924F27"/>
    <w:rsid w:val="00925BF3"/>
    <w:rsid w:val="00927435"/>
    <w:rsid w:val="009348C5"/>
    <w:rsid w:val="00934A14"/>
    <w:rsid w:val="00956AFB"/>
    <w:rsid w:val="009768F5"/>
    <w:rsid w:val="00981612"/>
    <w:rsid w:val="00981E23"/>
    <w:rsid w:val="0099065C"/>
    <w:rsid w:val="00991225"/>
    <w:rsid w:val="00997ACC"/>
    <w:rsid w:val="009A2E52"/>
    <w:rsid w:val="009A5CDE"/>
    <w:rsid w:val="009B03C0"/>
    <w:rsid w:val="009C27E2"/>
    <w:rsid w:val="009C48BC"/>
    <w:rsid w:val="009C4A30"/>
    <w:rsid w:val="009F06B8"/>
    <w:rsid w:val="00A050CE"/>
    <w:rsid w:val="00A35CD6"/>
    <w:rsid w:val="00A45ECF"/>
    <w:rsid w:val="00A67220"/>
    <w:rsid w:val="00A75367"/>
    <w:rsid w:val="00AD1DC9"/>
    <w:rsid w:val="00AE2263"/>
    <w:rsid w:val="00AF1703"/>
    <w:rsid w:val="00B134BD"/>
    <w:rsid w:val="00B23CBB"/>
    <w:rsid w:val="00B2583C"/>
    <w:rsid w:val="00B325FC"/>
    <w:rsid w:val="00B40D2B"/>
    <w:rsid w:val="00B479AE"/>
    <w:rsid w:val="00B63AB5"/>
    <w:rsid w:val="00B7322E"/>
    <w:rsid w:val="00B73235"/>
    <w:rsid w:val="00B95969"/>
    <w:rsid w:val="00BA164B"/>
    <w:rsid w:val="00BA6BA0"/>
    <w:rsid w:val="00BC5280"/>
    <w:rsid w:val="00BC6A5F"/>
    <w:rsid w:val="00BD0A55"/>
    <w:rsid w:val="00BE0B60"/>
    <w:rsid w:val="00BE5952"/>
    <w:rsid w:val="00BE5CC4"/>
    <w:rsid w:val="00BF4B6E"/>
    <w:rsid w:val="00BF7562"/>
    <w:rsid w:val="00C00F3A"/>
    <w:rsid w:val="00C0150F"/>
    <w:rsid w:val="00C14BDE"/>
    <w:rsid w:val="00C250B3"/>
    <w:rsid w:val="00C266F6"/>
    <w:rsid w:val="00C32CF4"/>
    <w:rsid w:val="00C53C7C"/>
    <w:rsid w:val="00C601AA"/>
    <w:rsid w:val="00C72E09"/>
    <w:rsid w:val="00C82868"/>
    <w:rsid w:val="00C94D71"/>
    <w:rsid w:val="00C97EE2"/>
    <w:rsid w:val="00CB57A5"/>
    <w:rsid w:val="00CB769B"/>
    <w:rsid w:val="00CB7E3F"/>
    <w:rsid w:val="00CC1760"/>
    <w:rsid w:val="00CC4B7A"/>
    <w:rsid w:val="00CE2DDE"/>
    <w:rsid w:val="00CE6AA9"/>
    <w:rsid w:val="00CF7748"/>
    <w:rsid w:val="00D07DB3"/>
    <w:rsid w:val="00D549BC"/>
    <w:rsid w:val="00D60B20"/>
    <w:rsid w:val="00D76C8D"/>
    <w:rsid w:val="00D81393"/>
    <w:rsid w:val="00D86004"/>
    <w:rsid w:val="00DA0814"/>
    <w:rsid w:val="00DC039E"/>
    <w:rsid w:val="00DD0492"/>
    <w:rsid w:val="00DD6E90"/>
    <w:rsid w:val="00DE33F7"/>
    <w:rsid w:val="00DE63D9"/>
    <w:rsid w:val="00DF2F68"/>
    <w:rsid w:val="00E0219A"/>
    <w:rsid w:val="00E02560"/>
    <w:rsid w:val="00E054E5"/>
    <w:rsid w:val="00E24A11"/>
    <w:rsid w:val="00E344AE"/>
    <w:rsid w:val="00E43D67"/>
    <w:rsid w:val="00E52665"/>
    <w:rsid w:val="00E567DE"/>
    <w:rsid w:val="00E63A41"/>
    <w:rsid w:val="00E66D85"/>
    <w:rsid w:val="00E70D9A"/>
    <w:rsid w:val="00E760D6"/>
    <w:rsid w:val="00E80676"/>
    <w:rsid w:val="00E839FC"/>
    <w:rsid w:val="00E84B67"/>
    <w:rsid w:val="00E87D40"/>
    <w:rsid w:val="00E977E2"/>
    <w:rsid w:val="00EA6295"/>
    <w:rsid w:val="00EA7902"/>
    <w:rsid w:val="00EB543F"/>
    <w:rsid w:val="00ED141E"/>
    <w:rsid w:val="00ED2842"/>
    <w:rsid w:val="00ED78AE"/>
    <w:rsid w:val="00EE0D4B"/>
    <w:rsid w:val="00EE4FAF"/>
    <w:rsid w:val="00F15446"/>
    <w:rsid w:val="00F3072B"/>
    <w:rsid w:val="00F36BB2"/>
    <w:rsid w:val="00F451B7"/>
    <w:rsid w:val="00F461D4"/>
    <w:rsid w:val="00F56397"/>
    <w:rsid w:val="00F574C5"/>
    <w:rsid w:val="00F95DE3"/>
    <w:rsid w:val="00FA2C1A"/>
    <w:rsid w:val="00FA6DFE"/>
    <w:rsid w:val="00FB1B3C"/>
    <w:rsid w:val="00FD3911"/>
    <w:rsid w:val="00FD3944"/>
    <w:rsid w:val="00FD7BA1"/>
    <w:rsid w:val="00FE0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D4A115-953E-4669-9AC8-C5CDC2BE0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A78"/>
    <w:pPr>
      <w:tabs>
        <w:tab w:val="center" w:pos="4680"/>
        <w:tab w:val="right" w:pos="9360"/>
      </w:tabs>
      <w:spacing w:line="240" w:lineRule="auto"/>
    </w:pPr>
  </w:style>
  <w:style w:type="character" w:customStyle="1" w:styleId="HeaderChar">
    <w:name w:val="Header Char"/>
    <w:basedOn w:val="DefaultParagraphFont"/>
    <w:link w:val="Header"/>
    <w:uiPriority w:val="99"/>
    <w:rsid w:val="00027A78"/>
  </w:style>
  <w:style w:type="paragraph" w:styleId="Footer">
    <w:name w:val="footer"/>
    <w:basedOn w:val="Normal"/>
    <w:link w:val="FooterChar"/>
    <w:uiPriority w:val="99"/>
    <w:unhideWhenUsed/>
    <w:rsid w:val="00027A78"/>
    <w:pPr>
      <w:tabs>
        <w:tab w:val="center" w:pos="4680"/>
        <w:tab w:val="right" w:pos="9360"/>
      </w:tabs>
      <w:spacing w:line="240" w:lineRule="auto"/>
    </w:pPr>
  </w:style>
  <w:style w:type="character" w:customStyle="1" w:styleId="FooterChar">
    <w:name w:val="Footer Char"/>
    <w:basedOn w:val="DefaultParagraphFont"/>
    <w:link w:val="Footer"/>
    <w:uiPriority w:val="99"/>
    <w:rsid w:val="00027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111717">
      <w:bodyDiv w:val="1"/>
      <w:marLeft w:val="0"/>
      <w:marRight w:val="0"/>
      <w:marTop w:val="0"/>
      <w:marBottom w:val="0"/>
      <w:divBdr>
        <w:top w:val="none" w:sz="0" w:space="0" w:color="auto"/>
        <w:left w:val="none" w:sz="0" w:space="0" w:color="auto"/>
        <w:bottom w:val="none" w:sz="0" w:space="0" w:color="auto"/>
        <w:right w:val="none" w:sz="0" w:space="0" w:color="auto"/>
      </w:divBdr>
      <w:divsChild>
        <w:div w:id="311839130">
          <w:marLeft w:val="0"/>
          <w:marRight w:val="0"/>
          <w:marTop w:val="0"/>
          <w:marBottom w:val="0"/>
          <w:divBdr>
            <w:top w:val="none" w:sz="0" w:space="0" w:color="auto"/>
            <w:left w:val="none" w:sz="0" w:space="0" w:color="auto"/>
            <w:bottom w:val="none" w:sz="0" w:space="0" w:color="auto"/>
            <w:right w:val="none" w:sz="0" w:space="0" w:color="auto"/>
          </w:divBdr>
        </w:div>
      </w:divsChild>
    </w:div>
    <w:div w:id="1722361362">
      <w:bodyDiv w:val="1"/>
      <w:marLeft w:val="0"/>
      <w:marRight w:val="0"/>
      <w:marTop w:val="0"/>
      <w:marBottom w:val="0"/>
      <w:divBdr>
        <w:top w:val="none" w:sz="0" w:space="0" w:color="auto"/>
        <w:left w:val="none" w:sz="0" w:space="0" w:color="auto"/>
        <w:bottom w:val="none" w:sz="0" w:space="0" w:color="auto"/>
        <w:right w:val="none" w:sz="0" w:space="0" w:color="auto"/>
      </w:divBdr>
      <w:divsChild>
        <w:div w:id="1202208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3560</Words>
  <Characters>20293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Windows User</cp:lastModifiedBy>
  <cp:revision>2</cp:revision>
  <dcterms:created xsi:type="dcterms:W3CDTF">2018-04-27T07:40:00Z</dcterms:created>
  <dcterms:modified xsi:type="dcterms:W3CDTF">2018-04-27T07:40:00Z</dcterms:modified>
</cp:coreProperties>
</file>